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92E9A" w14:textId="1B85763D" w:rsidR="008C3203" w:rsidRDefault="00B357AD" w:rsidP="00AC4DAD">
      <w:pPr>
        <w:jc w:val="center"/>
        <w:rPr>
          <w:b/>
        </w:rPr>
      </w:pPr>
      <w:r w:rsidRPr="00B357AD">
        <w:rPr>
          <w:b/>
        </w:rPr>
        <w:t>Sistemas agroalimentarios sostenibles como estrategia de adaptación al cambio climático en una finca cafetera del municipio de Ibagué, Tolima-Colombia.</w:t>
      </w:r>
    </w:p>
    <w:p w14:paraId="01BE718B" w14:textId="77777777" w:rsidR="00D0131E" w:rsidRDefault="00D0131E" w:rsidP="00B357AD">
      <w:pPr>
        <w:jc w:val="center"/>
        <w:rPr>
          <w:b/>
        </w:rPr>
      </w:pPr>
    </w:p>
    <w:p w14:paraId="38973809" w14:textId="77777777" w:rsidR="00D0131E" w:rsidRDefault="00D0131E" w:rsidP="00B357AD">
      <w:pPr>
        <w:jc w:val="center"/>
        <w:rPr>
          <w:b/>
        </w:rPr>
      </w:pPr>
    </w:p>
    <w:p w14:paraId="11AD5C01" w14:textId="1206E72D" w:rsidR="00D0131E" w:rsidRPr="00D0131E" w:rsidRDefault="00D0131E" w:rsidP="00D0131E">
      <w:pPr>
        <w:jc w:val="both"/>
        <w:rPr>
          <w:rStyle w:val="Hipervnculo"/>
          <w:b/>
          <w:color w:val="auto"/>
          <w:u w:val="none"/>
        </w:rPr>
      </w:pPr>
      <w:r w:rsidRPr="00760C54">
        <w:rPr>
          <w:b/>
        </w:rPr>
        <w:t>Blanca Myriam Salguero-Londoño</w:t>
      </w:r>
      <w:r>
        <w:rPr>
          <w:b/>
          <w:vertAlign w:val="superscript"/>
        </w:rPr>
        <w:t>1</w:t>
      </w:r>
      <w:r>
        <w:rPr>
          <w:b/>
        </w:rPr>
        <w:t xml:space="preserve"> </w:t>
      </w:r>
      <w:r w:rsidRPr="00B050A2">
        <w:rPr>
          <w:rFonts w:ascii="Times New Roman" w:hAnsi="Times New Roman" w:cs="Times New Roman"/>
        </w:rPr>
        <w:t xml:space="preserve">profesora tiempo completo </w:t>
      </w:r>
      <w:r>
        <w:rPr>
          <w:rFonts w:ascii="Times New Roman" w:hAnsi="Times New Roman" w:cs="Times New Roman"/>
        </w:rPr>
        <w:t xml:space="preserve">Universidad de Ibagué, grupo de </w:t>
      </w:r>
      <w:r w:rsidRPr="00B050A2">
        <w:rPr>
          <w:rFonts w:ascii="Times New Roman" w:hAnsi="Times New Roman" w:cs="Times New Roman"/>
        </w:rPr>
        <w:t xml:space="preserve">investigación </w:t>
      </w:r>
      <w:proofErr w:type="spellStart"/>
      <w:r w:rsidRPr="00B050A2">
        <w:rPr>
          <w:rFonts w:ascii="Times New Roman" w:hAnsi="Times New Roman" w:cs="Times New Roman"/>
        </w:rPr>
        <w:t>Naturatu</w:t>
      </w:r>
      <w:proofErr w:type="spellEnd"/>
      <w:r w:rsidRPr="00B050A2">
        <w:rPr>
          <w:rFonts w:ascii="Times New Roman" w:hAnsi="Times New Roman" w:cs="Times New Roman"/>
        </w:rPr>
        <w:t xml:space="preserve">, </w:t>
      </w:r>
      <w:hyperlink r:id="rId6" w:history="1">
        <w:r w:rsidRPr="00B050A2">
          <w:rPr>
            <w:rStyle w:val="Hipervnculo"/>
            <w:rFonts w:ascii="Times New Roman" w:hAnsi="Times New Roman" w:cs="Times New Roman"/>
          </w:rPr>
          <w:t>blanca.salguero@unibague.edu.co</w:t>
        </w:r>
      </w:hyperlink>
    </w:p>
    <w:p w14:paraId="42AF3A60" w14:textId="77777777" w:rsidR="00D0131E" w:rsidRPr="00B050A2" w:rsidRDefault="00D0131E" w:rsidP="00D0131E">
      <w:pPr>
        <w:jc w:val="both"/>
        <w:rPr>
          <w:rFonts w:ascii="Times New Roman" w:hAnsi="Times New Roman" w:cs="Times New Roman"/>
        </w:rPr>
      </w:pPr>
      <w:r>
        <w:rPr>
          <w:rFonts w:ascii="Tahoma" w:hAnsi="Tahoma" w:cs="Tahoma"/>
          <w:color w:val="888888"/>
          <w:shd w:val="clear" w:color="auto" w:fill="FFFFFF"/>
        </w:rPr>
        <w:t>ORCID </w:t>
      </w:r>
      <w:hyperlink r:id="rId7" w:tgtFrame="_blank" w:history="1">
        <w:r>
          <w:rPr>
            <w:rStyle w:val="Hipervnculo"/>
            <w:rFonts w:ascii="Arial" w:hAnsi="Arial" w:cs="Arial"/>
            <w:color w:val="1155CC"/>
            <w:sz w:val="18"/>
            <w:szCs w:val="18"/>
            <w:shd w:val="clear" w:color="auto" w:fill="FFFFFF"/>
          </w:rPr>
          <w:t>https://orcid.org/0000-0003-0508-8753</w:t>
        </w:r>
      </w:hyperlink>
    </w:p>
    <w:p w14:paraId="3FA58E39" w14:textId="2DDF6930" w:rsidR="00AC4DAD" w:rsidRDefault="00B357AD" w:rsidP="00B357AD">
      <w:bookmarkStart w:id="0" w:name="_GoBack"/>
      <w:bookmarkEnd w:id="0"/>
      <w:r>
        <w:rPr>
          <w:b/>
        </w:rPr>
        <w:t xml:space="preserve"> Tatiana E. Lozano-Suarez</w:t>
      </w:r>
      <w:r>
        <w:rPr>
          <w:b/>
          <w:vertAlign w:val="superscript"/>
        </w:rPr>
        <w:t>1</w:t>
      </w:r>
      <w:r w:rsidR="00D0131E">
        <w:rPr>
          <w:b/>
        </w:rPr>
        <w:t xml:space="preserve">, </w:t>
      </w:r>
      <w:r w:rsidR="00D0131E" w:rsidRPr="00D0131E">
        <w:t xml:space="preserve">joven investigadora Universidad de Ibagué, grupo de investigación </w:t>
      </w:r>
      <w:proofErr w:type="spellStart"/>
      <w:r w:rsidR="00D0131E" w:rsidRPr="00D0131E">
        <w:t>Naturatu</w:t>
      </w:r>
      <w:proofErr w:type="spellEnd"/>
      <w:r w:rsidR="00D0131E" w:rsidRPr="00D0131E">
        <w:t xml:space="preserve">, </w:t>
      </w:r>
      <w:r w:rsidR="00D0131E">
        <w:t>4220182008studiantesunibague.edu.co</w:t>
      </w:r>
    </w:p>
    <w:p w14:paraId="53AC46C8" w14:textId="77777777" w:rsidR="00D0131E" w:rsidRPr="00D0131E" w:rsidRDefault="00D0131E" w:rsidP="00B357AD"/>
    <w:p w14:paraId="58F581E1" w14:textId="5292D80B" w:rsidR="00B357AD" w:rsidRDefault="00B357AD" w:rsidP="00B357AD">
      <w:pPr>
        <w:rPr>
          <w:b/>
        </w:rPr>
      </w:pPr>
      <w:r>
        <w:rPr>
          <w:b/>
        </w:rPr>
        <w:t>RESUMEN</w:t>
      </w:r>
    </w:p>
    <w:p w14:paraId="6676EE51" w14:textId="59953521" w:rsidR="00B357AD" w:rsidRDefault="00077C70" w:rsidP="00B357AD">
      <w:pPr>
        <w:jc w:val="both"/>
      </w:pPr>
      <w:r w:rsidRPr="00077C70">
        <w:t>prácticas agroecológicas en la finca Bellavista, en Ibagué, destacando la participación activa del productor, su familia y otros agricultores involucrados en el proyecto.</w:t>
      </w:r>
      <w:r w:rsidR="00B357AD" w:rsidRPr="00B357AD">
        <w:t xml:space="preserve"> La metodología de trabajo está relacionada con una estrategia de aprendizaje basado en problemas a través del dialogo de saberes entre productor y estudiantes de las asignaturas de Agroecología y Clima, Geología y Suelos.  </w:t>
      </w:r>
      <w:r w:rsidRPr="00077C70">
        <w:t>Este enfoque ha llevado a la implementación de acciones prácticas, como la adecuación de huertos familiares y la introducción de especies forestales (</w:t>
      </w:r>
      <w:proofErr w:type="spellStart"/>
      <w:r w:rsidRPr="00077C70">
        <w:t>agroforestería</w:t>
      </w:r>
      <w:proofErr w:type="spellEnd"/>
      <w:r w:rsidRPr="00077C70">
        <w:t>), que mejoran el sistema suelo-planta y aportan beneficios ambientales y climáticos.</w:t>
      </w:r>
      <w:r w:rsidR="00B357AD" w:rsidRPr="00B357AD">
        <w:t xml:space="preserve"> Los estudiantes a su vez apoyan la realización de talleres de educación ambiental para el cambio climático en la comunidad. De esta forma, se plantean acciones desde la gestión ambiental para disminuir impactos asociaos con el cambio climático y la resiliencia ambiental generando oportunidades en la región que apoyen el trabajo de los productores y con la participación continua de la universidad.</w:t>
      </w:r>
    </w:p>
    <w:p w14:paraId="1592A736" w14:textId="77777777" w:rsidR="00B357AD" w:rsidRPr="00B357AD" w:rsidRDefault="00B357AD" w:rsidP="00B357AD">
      <w:pPr>
        <w:jc w:val="both"/>
      </w:pPr>
    </w:p>
    <w:p w14:paraId="798D7C38" w14:textId="77777777" w:rsidR="008C3203" w:rsidRPr="00B3701F" w:rsidRDefault="008C3203" w:rsidP="00706F36">
      <w:pPr>
        <w:jc w:val="both"/>
        <w:rPr>
          <w:b/>
        </w:rPr>
      </w:pPr>
      <w:r>
        <w:rPr>
          <w:b/>
        </w:rPr>
        <w:t>INTRODUCCIÓN</w:t>
      </w:r>
    </w:p>
    <w:p w14:paraId="7B31CB34" w14:textId="12CDBDD2" w:rsidR="008C3203" w:rsidRDefault="00376EEF" w:rsidP="00706F36">
      <w:pPr>
        <w:jc w:val="both"/>
        <w:rPr>
          <w:color w:val="000000"/>
        </w:rPr>
      </w:pPr>
      <w:r w:rsidRPr="00376EEF">
        <w:t>Los sistemas agroalimentarios regenerativos no solo se centran en la producción de cultivos, sino también en la sostenibilidad ecológica mediante el uso respon</w:t>
      </w:r>
      <w:r>
        <w:t xml:space="preserve">sable de los recursos naturales </w:t>
      </w:r>
      <w:r w:rsidR="003A5B14">
        <w:fldChar w:fldCharType="begin" w:fldLock="1"/>
      </w:r>
      <w:r w:rsidR="003A5B14">
        <w:instrText>ADDIN CSL_CITATION {"citationItems":[{"id":"ITEM-1","itemData":{"DOI":"10.17141/letrasverdes.29.2021.4751","abstract":"Este artículo analiza el impacto del cambio climático en el modo de producción agroecológico, orgánico y convencional en los cantones Cayambe y Pedro Moncayo debido a los retos que enfrenta Ecuador en el sector agropecuario, ante el deterioro ambiental. Se aplica la metodología del análisis multicriterio para determinar la alternativa de producción agrícola que mejor se ajusta a la zona, a partir de su comportamiento en los siguientes indicadores: económico, social, ambiental, institucional y productivo. En la investigación participaron productores agroecológicos, orgánicos y convencionales. La información se recopiló mediante encuestas y análisis de documentos oficiales de los cantones. El cumplimiento de cada uno de los pasos del análisis multicriterio permitió conocer que el mejor sistema productivo es la agroecología. Le sigue la producción orgánica y el menos adecuado es el sistema de producción convencional. Estos sistemas son afectados de manera distinta por el cambio climático, y su contribución al deterioro ambiental también es diferenciada. La huella hídrica y de carbono para el sistema orgánico es de 39.9 m3/Ton y 1.07 TonCO2/Kg de producto, respectivamente; mientras que para el sistema agroecológico es de 77.3 m3/Ton y 0.10 TonCO2/Kg de producto. El sistema convencional es el peor puntuado, con un impacto ambiental más fuerte (huella hídrica = 300.3m3/Ton y huella de carbono = 1.87TonCO2/Kg de producto). El estudio muestra que el sistema mejor preparado ante estos eventos es el agroecológico. Ello significa que es menos vulnerable y más resiliente, en términos generales.","author":[{"dropping-particle":"","family":"Chávez Caiza","given":"Jenny Paola","non-dropping-particle":"","parse-names":false,"suffix":""},{"dropping-particle":"","family":"Burbano Rodríguez","given":"Rafael Tiberio","non-dropping-particle":"","parse-names":false,"suffix":""}],"container-title":"Letras Verdes. Revista Latinoamericana de Estudios Socioambientales","id":"ITEM-1","issue":"29","issued":{"date-parts":[["2021","3","31"]]},"page":"149-166","publisher":"Facultad Latinoamericana de Ciencias Sociales, Ecuador (FLACSO)","title":"Cambio climático y sistemas de producción agroecológico, orgánico y convencional en los cantones Cayambe y Pedro Moncayo","type":"article-journal"},"uris":["http://www.mendeley.com/documents/?uuid=d39cf856-5d7d-3959-8f0d-bbb2684d5dff"]}],"mendeley":{"formattedCitation":"(Chávez Caiza &amp; Burbano Rodríguez, 2021)","plainTextFormattedCitation":"(Chávez Caiza &amp; Burbano Rodríguez, 2021)","previouslyFormattedCitation":"(Chávez Caiza &amp; Burbano Rodríguez, 2021)"},"properties":{"noteIndex":0},"schema":"https://github.com/citation-style-language/schema/raw/master/csl-citation.json"}</w:instrText>
      </w:r>
      <w:r w:rsidR="003A5B14">
        <w:fldChar w:fldCharType="separate"/>
      </w:r>
      <w:r w:rsidR="003A5B14" w:rsidRPr="003A5B14">
        <w:rPr>
          <w:noProof/>
        </w:rPr>
        <w:t>(Chávez Caiza &amp; Burbano Rodríguez, 2021)</w:t>
      </w:r>
      <w:r w:rsidR="003A5B14">
        <w:fldChar w:fldCharType="end"/>
      </w:r>
      <w:r w:rsidR="003A5B14">
        <w:t>.</w:t>
      </w:r>
      <w:r w:rsidR="00AC32B4">
        <w:t xml:space="preserve"> </w:t>
      </w:r>
      <w:r w:rsidR="00694790">
        <w:t>Se</w:t>
      </w:r>
      <w:r w:rsidR="00942918">
        <w:t xml:space="preserve"> encuentra arraigado a la racionalidad ecológica de la agricultura tradicional, con prácticas de manejo de los recursos naturales </w:t>
      </w:r>
      <w:r w:rsidR="00694790">
        <w:t xml:space="preserve">basados </w:t>
      </w:r>
      <w:r w:rsidR="00942918">
        <w:t xml:space="preserve">bajo el </w:t>
      </w:r>
      <w:r w:rsidR="00694790">
        <w:t>vínculo</w:t>
      </w:r>
      <w:r w:rsidR="00942918">
        <w:t xml:space="preserve"> </w:t>
      </w:r>
      <w:r w:rsidRPr="00376EEF">
        <w:t>armónico con la naturaleza, estos sistemas promueven la biodiversidad, la resiliencia y la eficiencia energética, apoyando la soberanía alimentaria</w:t>
      </w:r>
      <w:r w:rsidR="003A5B14">
        <w:t xml:space="preserve"> </w:t>
      </w:r>
      <w:r w:rsidR="003A5B14">
        <w:fldChar w:fldCharType="begin" w:fldLock="1"/>
      </w:r>
      <w:r w:rsidR="003A5B14">
        <w:instrText>ADDIN CSL_CITATION {"citationItems":[{"id":"ITEM-1","itemData":{"ISSN":"1315-9518","abstract":"Resumen En Latinoamérica, se han impulsado procesos de transición y conversión de sistemas agrícolas de producción convencional a sistemas de producción agroecológicos. Sin embargo, no ha sido posible observar su desarrollo, debido a que ha prevalecido el enfoque tecnológico sobre los problemas sociales. Se realizó esta investigación, con el objetivo de diseñar una propuesta de dimensiones e indicadores para el estudio integral del nivel de desarrollo de sistemas de producción agroecológica. Metodológicamente implicó el análisis de enfoques y teorías bajo un episteme racionalista deductivo. Los resultados plantean la necesidad de avanzar del modelo basado en la relación producción-consumo al análisis de las relaciones complejas que se dan entre el ecosistema y las culturas, estudiando el efecto de la intervención humana en los ecosistemas, incorporando instrumentos de análisis holístico para abordar los sistemas socio-ecológicos, los cuales hacen énfasis en la racionalidad ecológica de la agricultura agroecológica. Se concluye en un enfoque de transición social agroecológico con tres dimensiones: Socio-cultural (dinámicas de cooperación social); socio-política (políticas públicas de fomento agroecológico) y eco-estructural, (manejo de los recursos naturales), lo que debería expresar una mejor racionalidad económica productiva del sistema agroecológico (condiciones sociales, productividad, tecnología ambientalmente amigable), considerada como variable proxi del grado de desarrollo. Palabras clave: Sistemas de producción agroecológicos; cooperación social; manejo de recursos naturales; políticas públicas; racionalidad económica productiva.","author":[{"dropping-particle":"","family":"Cevallos-Suarez","given":"Marco","non-dropping-particle":"","parse-names":false,"suffix":""},{"dropping-particle":"","family":"Urdaneta-Ortega","given":"Fátima","non-dropping-particle":"","parse-names":false,"suffix":""},{"dropping-particle":"","family":"Jaimes","given":"Edgar","non-dropping-particle":"","parse-names":false,"suffix":""}],"container-title":"Revista de Ciencias Sociales (RCS)","id":"ITEM-1","issue":"3","issued":{"date-parts":[["2019"]]},"page":"172-185","title":"Desarrollo de sistemas de producción agroecológica: Dimensiones e indicadores para su estudio","type":"article-journal","volume":"25"},"uris":["http://www.mendeley.com/documents/?uuid=8aaeafa4-ff2f-3c87-b799-4ccb1c35566b"]}],"mendeley":{"formattedCitation":"(Cevallos-Suarez et al., 2019)","plainTextFormattedCitation":"(Cevallos-Suarez et al., 2019)","previouslyFormattedCitation":"(Cevallos-Suarez et al., 2019)"},"properties":{"noteIndex":0},"schema":"https://github.com/citation-style-language/schema/raw/master/csl-citation.json"}</w:instrText>
      </w:r>
      <w:r w:rsidR="003A5B14">
        <w:fldChar w:fldCharType="separate"/>
      </w:r>
      <w:r w:rsidR="003A5B14" w:rsidRPr="003A5B14">
        <w:rPr>
          <w:noProof/>
        </w:rPr>
        <w:t>(Cevallos-Suarez et al., 2019)</w:t>
      </w:r>
      <w:r w:rsidR="003A5B14">
        <w:fldChar w:fldCharType="end"/>
      </w:r>
      <w:r w:rsidR="003A5B14">
        <w:t xml:space="preserve">. </w:t>
      </w:r>
      <w:r>
        <w:rPr>
          <w:color w:val="000000"/>
        </w:rPr>
        <w:t xml:space="preserve">Asume </w:t>
      </w:r>
      <w:r w:rsidR="00942918" w:rsidRPr="00942918">
        <w:rPr>
          <w:color w:val="000000"/>
        </w:rPr>
        <w:t xml:space="preserve">la complejidad de la naturaleza no como un recurso </w:t>
      </w:r>
      <w:r>
        <w:rPr>
          <w:color w:val="000000"/>
        </w:rPr>
        <w:t>ilimitado</w:t>
      </w:r>
      <w:r w:rsidR="00942918" w:rsidRPr="00942918">
        <w:rPr>
          <w:color w:val="000000"/>
        </w:rPr>
        <w:t xml:space="preserve"> sino como un bien que hay que conservar y a la vez reproducir</w:t>
      </w:r>
      <w:r w:rsidR="00694790">
        <w:rPr>
          <w:color w:val="000000"/>
        </w:rPr>
        <w:t>, ofreciendo respuestas a la degradación ambiental, social y económica de la prevaleciente agricultura tradicional, con base en la funcionalidad de sus componentes</w:t>
      </w:r>
      <w:r w:rsidR="003A5B14">
        <w:rPr>
          <w:color w:val="000000"/>
        </w:rPr>
        <w:t xml:space="preserve"> </w:t>
      </w:r>
      <w:r w:rsidR="003A5B14">
        <w:rPr>
          <w:color w:val="000000"/>
        </w:rPr>
        <w:fldChar w:fldCharType="begin" w:fldLock="1"/>
      </w:r>
      <w:r w:rsidR="003A5B14">
        <w:rPr>
          <w:color w:val="000000"/>
        </w:rPr>
        <w:instrText>ADDIN CSL_CITATION {"citationItems":[{"id":"ITEM-1","itemData":{"ISSN":"1853-8665","abstract":"Resumen Este artículo resume una serie de experiencias que desde la aplicación de los principios agroecológicos permiten identificar y analizar definiciones, estructuras, dimensiones-escalas, métodos de evaluación de sistemas agroecológicos, con el objetivo de orientar el análisis hacia el entendimiento de los procesos que promueven una alta funcionalidad ecológica, social y económica. La construcción del marco teórico-metodológico presentado es resultado de una revisión de experiencias con enfoque agroecológico, en agroecosistemas estratégicos para la conservación de los recursos naturales. Los resultados de la revisión y análisis de las experiencias muestran que, en el contexto de la agricultura con enfoque de sostenibilidad, las prácticas agroecológicas han evolucionado producto de experiencias tradicionales acumuladas por productores individuales, asociaciones, y proyectos de desa-rrollo territorial; asumiendo diferentes escalas de aplicación y mecanismos. Con base en las dinámicas productivas con enfoque agroecológico, fue posible extraer y sintetizar de cada experiencia los indicadores de procesos funcionales como conservación de la biodi-versidad, servicios ecosistémicos, productividad, conectividad del paisaje, para el logro de objetivos ecológicos, sociales y económicos, tanto a escala de finca como de cuenca, y paisaje. Es bajo esta premisa, que se planea que el análisis de sistemas agroecológicos a diferentes escalas, conlleva elementos metodológicos integradores de distintas visiones de la gestión de recursos naturales, debido a que su dinámica está determinada por elementos naturales y sociales con múltiples contextos. Palabras claves Agricultura sostenible • procesos ecológicos • evaluación agroecológica","author":[{"dropping-particle":"","family":"Noguera-Talavera","given":"Álvaro","non-dropping-particle":"","parse-names":false,"suffix":""},{"dropping-particle":"","family":"Salmerón","given":"Francisco","non-dropping-particle":"","parse-names":false,"suffix":""},{"dropping-particle":"","family":"Reyes-Sánchez","given":"Nadir","non-dropping-particle":"","parse-names":false,"suffix":""}],"container-title":"Revista de la Facultad de Ciencias Agrarias","id":"ITEM-1","issue":"1","issued":{"date-parts":[["2019"]]},"page":"273-293","title":"Bases teórico-metodológicas para el diseño de sistemas\nagroecológicos","type":"article-journal","volume":"51"},"uris":["http://www.mendeley.com/documents/?uuid=1d15bba5-030a-3371-9186-7701331fff5f"]}],"mendeley":{"formattedCitation":"(Noguera-Talavera et al., 2019)","plainTextFormattedCitation":"(Noguera-Talavera et al., 2019)","previouslyFormattedCitation":"(Noguera-Talavera et al., 2019)"},"properties":{"noteIndex":0},"schema":"https://github.com/citation-style-language/schema/raw/master/csl-citation.json"}</w:instrText>
      </w:r>
      <w:r w:rsidR="003A5B14">
        <w:rPr>
          <w:color w:val="000000"/>
        </w:rPr>
        <w:fldChar w:fldCharType="separate"/>
      </w:r>
      <w:r w:rsidR="003A5B14" w:rsidRPr="003A5B14">
        <w:rPr>
          <w:noProof/>
          <w:color w:val="000000"/>
        </w:rPr>
        <w:t>(Noguera-Talavera et al., 2019)</w:t>
      </w:r>
      <w:r w:rsidR="003A5B14">
        <w:rPr>
          <w:color w:val="000000"/>
        </w:rPr>
        <w:fldChar w:fldCharType="end"/>
      </w:r>
      <w:r w:rsidR="003A5B14">
        <w:rPr>
          <w:color w:val="000000"/>
        </w:rPr>
        <w:t>.</w:t>
      </w:r>
    </w:p>
    <w:p w14:paraId="614F02E2" w14:textId="383FA192" w:rsidR="00AC4DAD" w:rsidRDefault="00376EEF" w:rsidP="007D729B">
      <w:pPr>
        <w:jc w:val="both"/>
        <w:rPr>
          <w:color w:val="000000"/>
        </w:rPr>
      </w:pPr>
      <w:r>
        <w:rPr>
          <w:color w:val="000000"/>
        </w:rPr>
        <w:t>O</w:t>
      </w:r>
      <w:r w:rsidR="00FF15B2">
        <w:rPr>
          <w:color w:val="000000"/>
        </w:rPr>
        <w:t xml:space="preserve">frecen una gama de alternativas </w:t>
      </w:r>
      <w:r w:rsidRPr="00376EEF">
        <w:rPr>
          <w:color w:val="000000"/>
        </w:rPr>
        <w:t xml:space="preserve">para aumentar la biodiversidad y la funcionalidad de los cultivos, fortaleciendo la resiliencia de los </w:t>
      </w:r>
      <w:proofErr w:type="spellStart"/>
      <w:r w:rsidRPr="00376EEF">
        <w:rPr>
          <w:color w:val="000000"/>
        </w:rPr>
        <w:t>agroecosistemas</w:t>
      </w:r>
      <w:proofErr w:type="spellEnd"/>
      <w:r w:rsidRPr="00376EEF">
        <w:rPr>
          <w:color w:val="000000"/>
        </w:rPr>
        <w:t xml:space="preserve"> y reduciendo la vulnerabilidad a la variabilidad climática mediante estrategias como la diversificación de cultivos, el mantenimiento de la diversidad genética local y la adición de materia orgánica al suelo Estas prácticas se presentan como una </w:t>
      </w:r>
      <w:r w:rsidRPr="00376EEF">
        <w:rPr>
          <w:color w:val="000000"/>
        </w:rPr>
        <w:lastRenderedPageBreak/>
        <w:t xml:space="preserve">solución a la crisis ambiental y social, integrando conocimientos científicos y la experiencia de campesinos e indígenas </w:t>
      </w:r>
      <w:r w:rsidR="007D729B">
        <w:rPr>
          <w:color w:val="000000"/>
        </w:rPr>
        <w:fldChar w:fldCharType="begin" w:fldLock="1"/>
      </w:r>
      <w:r w:rsidR="007D729B">
        <w:rPr>
          <w:color w:val="000000"/>
        </w:rPr>
        <w:instrText>ADDIN CSL_CITATION {"citationItems":[{"id":"ITEM-1","itemData":{"DOI":"10.1007/S13593-021-00666-3/FIGURES/4","ISSN":"1773-0155","abstract":"Despite the increasingly widespread use of the term agroecology by farmers, scientists, agrarian social movements, and lawmakers, the definition of the concept is still the object of controversies. Current interpretations range widely, from fully transdisciplinary and interdisciplinary definitions integrating ecological, socioeconomic, and political dimensions of agriculture, to more narrow definitions of agroecology as a discipline bridging ecology and agronomy. No less importantly, few actors have developed criteria and methodologies to identify and evaluate agroecological systems based on both ecological and socioeconomic dimensions. The lack of consistency in the study and application of “agroecology,” resulting from varying definitions for agroecology and the absence of standardized methodologies to identify agroecological systems, is problematic. It limits the recognition of associated benefits and disadvantages of different agroecological systems, as well as the identification of drivers that favor the implementation of agroecological practices. While lessons learned from individual case studies are valuable and showcase the potential of agroecology, results are not always relevant to other contexts. Here, we review existing theoretical and empirical agroecological literature. The major points that emerge are the following: (1) we integrate six historical ecological principles with seven socioeconomic principles to propose an overarching framework for recognizing systems oriented towards agroecology; (2) the implementation of different principles may vary greatly across spatial scales or governance contexts; (3) there are numerous barriers that farmers may face in their transition towards an agroecological “ideal”—this highlights the need for improved recognition of systems in transition, as well as the need for supportive policies to scale up agroecology. The application of two complementary methodological approaches presented in our review has the potential to help practitioners evaluate to what extent a system can be considered as agroecological based on ecological and socioeconomic principles.","author":[{"dropping-particle":"","family":"Dumont","given":"Antoinette M.","non-dropping-particle":"","parse-names":false,"suffix":""},{"dropping-particle":"","family":"Wartenberg","given":"Ariani C.","non-dropping-particle":"","parse-names":false,"suffix":""},{"dropping-particle":"V.","family":"Baret","given":"Philippe","non-dropping-particle":"","parse-names":false,"suffix":""}],"container-title":"Agronomy for Sustainable Development","id":"ITEM-1","issue":"3","issued":{"date-parts":[["2021","6","1"]]},"publisher":"Springer-Verlag Italia s.r.l.","title":"Bridging the gap between the agroecological ideal and its implementation into practice. A review","type":"article-journal","volume":"41"},"uris":["http://www.mendeley.com/documents/?uuid=8e9c6b81-df9f-3826-8a91-fb0c1ae83dc5"]}],"mendeley":{"formattedCitation":"(Dumont et al., 2021)","plainTextFormattedCitation":"(Dumont et al., 2021)","previouslyFormattedCitation":"(Dumont et al., 2021)"},"properties":{"noteIndex":0},"schema":"https://github.com/citation-style-language/schema/raw/master/csl-citation.json"}</w:instrText>
      </w:r>
      <w:r w:rsidR="007D729B">
        <w:rPr>
          <w:color w:val="000000"/>
        </w:rPr>
        <w:fldChar w:fldCharType="separate"/>
      </w:r>
      <w:r w:rsidR="007D729B" w:rsidRPr="007D729B">
        <w:rPr>
          <w:noProof/>
          <w:color w:val="000000"/>
        </w:rPr>
        <w:t>(Dumont et al., 2021)</w:t>
      </w:r>
      <w:r w:rsidR="007D729B">
        <w:rPr>
          <w:color w:val="000000"/>
        </w:rPr>
        <w:fldChar w:fldCharType="end"/>
      </w:r>
      <w:r w:rsidR="007D729B">
        <w:rPr>
          <w:color w:val="000000"/>
        </w:rPr>
        <w:t xml:space="preserve">. </w:t>
      </w:r>
      <w:r w:rsidRPr="00376EEF">
        <w:rPr>
          <w:color w:val="000000"/>
        </w:rPr>
        <w:t>Es crucial que estas prácticas se enfoquen</w:t>
      </w:r>
      <w:r>
        <w:rPr>
          <w:color w:val="000000"/>
        </w:rPr>
        <w:t xml:space="preserve"> en</w:t>
      </w:r>
      <w:r w:rsidR="00AC4DAD" w:rsidRPr="00AC4DAD">
        <w:rPr>
          <w:color w:val="000000"/>
        </w:rPr>
        <w:t xml:space="preserve"> la fijación o secuestro de carbono, </w:t>
      </w:r>
      <w:r w:rsidRPr="00376EEF">
        <w:rPr>
          <w:color w:val="000000"/>
        </w:rPr>
        <w:t>en lugar de la liberación de carbono, para evitar la formación de gases de efecto invernadero</w:t>
      </w:r>
      <w:r>
        <w:rPr>
          <w:color w:val="000000"/>
        </w:rPr>
        <w:t xml:space="preserve"> </w:t>
      </w:r>
      <w:r w:rsidR="00AC4DAD">
        <w:rPr>
          <w:color w:val="000000"/>
        </w:rPr>
        <w:fldChar w:fldCharType="begin" w:fldLock="1"/>
      </w:r>
      <w:r w:rsidR="00AC4DAD">
        <w:rPr>
          <w:color w:val="000000"/>
        </w:rPr>
        <w:instrText>ADDIN CSL_CITATION {"citationItems":[{"id":"ITEM-1","itemData":{"DOI":"10.22267/rcia.183501.85","ISSN":"2256-2273","author":[{"dropping-particle":"","family":"Burbano Orjuela","given":"Hernán","non-dropping-particle":"","parse-names":false,"suffix":""}],"container-title":"Revista de Ciencias Agrícolas","id":"ITEM-1","issue":"1","issued":{"date-parts":[["2018"]]},"page":"82-96","title":"El carbono orgánico del suelo y su papel frente al cambio climático The soil organic carbon and its role on climate change","type":"article-journal","volume":"34"},"uris":["http://www.mendeley.com/documents/?uuid=799f00cb-b38c-3eee-afbc-a440ad153aa2"]},{"id":"ITEM-2","itemData":{"DOI":"10.1007/S13593-020-00646-Z/FIGURES/5","ISSN":"1773-0155","abstract":"There is consensus that the global food system is not delivering good nutrition for all and is causing environmental degradation and loss of biodiversity, such that a profound transformation is needed to meet the challenges of persistent malnutrition and rural poverty, aggravated by the growing consequences of climate change. Agroecological approaches have gained prominence in scientific, agricultural and political discourse in recent years, suggesting pathways to transform agricultural and food systems that address these issues. Here we present an extensive literature review of concepts, definitions and principles of agroecology, and their historical evolution, considering the three manifestations of agroecology as a science, a set of practices and a social movement; and relate them to the recent dialogue establishing a set of ten iconic elements of agroecology that have emerged from a global multi-stakeholder consultation and synthesis process. Based on this, a consolidated list of principles is developed and discussed in the context of presenting transition pathways to more sustainable food systems. The major outcomes of this paper are as follows. (1) Definition of 13 consolidated agroecological principles: recycling; input reduction; soil health; animal health; biodiversity; synergy; economic diversification; co-creation of knowledge; social values and diets; fairness; connectivity; land and natural resource governance; participation. (2) Confirmation that these principles are well aligned and complementary to the 10 elements of agroecology developed by FAO but articulate requirements of soil and animal health more explicitly and distinguish between biodiversity and economic diversification. (3) Clarification that application of these generic principles can generate diverse pathways for incremental and transformational change towards more sustainable farming and food systems. (4) Identification of four key entry points associated with the elements: diversity; circular and solidarity economy; co-creation and sharing of knowledge; and, responsible governance to enable plausible pathways of transformative change towards sustainable agriculture and food systems.","author":[{"dropping-particle":"","family":"Wezel","given":"Alexander","non-dropping-particle":"","parse-names":false,"suffix":""},{"dropping-particle":"","family":"Gemmill Señor","given":"Bárbara","non-dropping-particle":"","parse-names":false,"suffix":""},{"dropping-particle":"","family":"Bezner Kerr","given":"Rachel","non-dropping-particle":"","parse-names":false,"suffix":""},{"dropping-particle":"","family":"Barrios","given":"Edmundo","non-dropping-particle":"","parse-names":false,"suffix":""},{"dropping-particle":"","family":"Rodrigues","given":"André","non-dropping-particle":"","parse-names":false,"suffix":""},{"dropping-particle":"","family":"Sinclair","given":"Fergus","non-dropping-particle":"","parse-names":false,"suffix":""}],"container-title":"Agronomy for Sustainable Development","id":"ITEM-2","issue":"6","issued":{"date-parts":[["2020","12","1"]]},"publisher":"Springer-Verlag Italia s.r.l.","title":"Agroecological principles and elements and their implications for transitioning to sustainable food systems. A review","type":"article-journal","volume":"40"},"uris":["http://www.mendeley.com/documents/?uuid=e2ea7f3e-d273-3b9a-a7c4-027b76d20a22"]}],"mendeley":{"formattedCitation":"(Burbano Orjuela, 2018; Wezel et al., 2020)","plainTextFormattedCitation":"(Burbano Orjuela, 2018; Wezel et al., 2020)","previouslyFormattedCitation":"(Burbano Orjuela, 2018; Wezel et al., 2020)"},"properties":{"noteIndex":0},"schema":"https://github.com/citation-style-language/schema/raw/master/csl-citation.json"}</w:instrText>
      </w:r>
      <w:r w:rsidR="00AC4DAD">
        <w:rPr>
          <w:color w:val="000000"/>
        </w:rPr>
        <w:fldChar w:fldCharType="separate"/>
      </w:r>
      <w:r w:rsidR="00AC4DAD" w:rsidRPr="00AC4DAD">
        <w:rPr>
          <w:noProof/>
          <w:color w:val="000000"/>
        </w:rPr>
        <w:t>(Burbano Orjuela, 2018; Wezel et al., 2020)</w:t>
      </w:r>
      <w:r w:rsidR="00AC4DAD">
        <w:rPr>
          <w:color w:val="000000"/>
        </w:rPr>
        <w:fldChar w:fldCharType="end"/>
      </w:r>
      <w:r w:rsidR="00AC4DAD">
        <w:rPr>
          <w:color w:val="000000"/>
        </w:rPr>
        <w:t xml:space="preserve">. </w:t>
      </w:r>
    </w:p>
    <w:p w14:paraId="7D0DFA49" w14:textId="7F55E952" w:rsidR="00AC4DAD" w:rsidRDefault="007D729B" w:rsidP="007D729B">
      <w:pPr>
        <w:jc w:val="both"/>
        <w:rPr>
          <w:color w:val="000000"/>
        </w:rPr>
      </w:pPr>
      <w:r>
        <w:rPr>
          <w:color w:val="000000"/>
        </w:rPr>
        <w:t xml:space="preserve">Aunque la transición hacia modelos agrícolas sostenibles es un reto complejo </w:t>
      </w:r>
      <w:r w:rsidR="00376EEF" w:rsidRPr="00376EEF">
        <w:rPr>
          <w:color w:val="000000"/>
        </w:rPr>
        <w:t>que requiere acciones po</w:t>
      </w:r>
      <w:r w:rsidR="00376EEF">
        <w:rPr>
          <w:color w:val="000000"/>
        </w:rPr>
        <w:t>líticas, jurídicas y culturales</w:t>
      </w:r>
      <w:r>
        <w:rPr>
          <w:color w:val="000000"/>
        </w:rPr>
        <w:t xml:space="preserve"> </w:t>
      </w:r>
      <w:r>
        <w:rPr>
          <w:color w:val="000000"/>
        </w:rPr>
        <w:fldChar w:fldCharType="begin" w:fldLock="1"/>
      </w:r>
      <w:r w:rsidR="000D7D27">
        <w:rPr>
          <w:color w:val="000000"/>
        </w:rPr>
        <w:instrText>ADDIN CSL_CITATION {"citationItems":[{"id":"ITEM-1","itemData":{"DOI":"10.29312/REMEXCA.V12I8.2704","ISSN":"2007-0934","abstract":"En una dimensión regional, se analizan dos factores claves de la actividad agrícola de Guasave, Sinaloa, México que influyen directamente en el desarrollo rural sustentable: la agricultura intensiva y la calidad de suelos. La presente investigación se diseñó como un estudio cualitativo de tipo descriptivo de este ramo productivo, para ello se aplicaron 164 entrevistas a productores y se analizaron diversos documentos con información del sector, tales como informes técnicos y boletines. Se encontró que la agricultura intensiva predomina en el área de estudio, con prácticas y patrones de producción de tipo tradicional, como son sistemas de riego de gravedad y uso desmedido de agroquímicos, lo cual presupone manejos agrarios que van en contra del contexto sustentable. Se requiere de investigación-acción para la implementación de estrategias de resiliencia con un enfoque sostenible, alineadas a la gobernanza ambiental adecuada de la actividad y a las necesidades del sector, toda vez que se siguen observando problemas como la pérdida de fertilidad de los suelos, un incremento en la salinidad y erosión en algunos predios agrícolas.","author":[{"dropping-particle":"","family":"Cuadras","given":"Aldo Alan","non-dropping-particle":"","parse-names":false,"suffix":""},{"dropping-particle":"","family":"Peinado-Guevara","given":"Víctor Manuel","non-dropping-particle":"","parse-names":false,"suffix":""},{"dropping-particle":"","family":"Peinado-Guevara","given":"Héctor José","non-dropping-particle":"","parse-names":false,"suffix":""},{"dropping-particle":"","family":"López-López","given":"José de Jesús","non-dropping-particle":"","parse-names":false,"suffix":""},{"dropping-particle":"","family":"Herrera-Barrientos","given":"Jaime","non-dropping-particle":"","parse-names":false,"suffix":""}],"container-title":"Revista mexicana de ciencias agrícolas","id":"ITEM-1","issue":"8","issued":{"date-parts":[["2021","12","7"]]},"page":"1401-1414","publisher":"Instituto Nacional de Investigaciones Forestales, Agrícolas y Pecuarias","title":"Agricultura intensiva y calidad de suelos: retos para el desarrollo sustentable en Sinaloa","type":"article-journal","volume":"12"},"uris":["http://www.mendeley.com/documents/?uuid=d262b7c8-f026-37b4-b7e5-39a9d69c65a8"]},{"id":"ITEM-2","itemData":{"DOI":"10.1016/J.ENVC.2021.100327","ISSN":"2667-0100","abstract":"World hunger, food insecurity and climate change are some of the most complex problems related to food systems, and there is an urgency to reform these systems with long-term sustainability in mind. The minimization of food loss (FL) is one of the main contemporary challenges required to achieve food security and a sustainable food system. Information about FL in the primary production of developing countries is scarce, yet it is precisely these countries that have less support in preventing FL. The research herein focuses on estimating FL and characterizing its main causes in the agricultural sector of the agri-food giant Mexican state of Jalisco. This work uses a self-reported approach to survey and interview producers of the state's core crops (including corn, sugarcane, agave, tomato, avocado and banana). The mean FL was found to be 14.0%, which is lower than previously reported for developing countries. FL, in the agricultural sector, was attributed mainly to pests and weather conditions, followed by market failures or inadequate marketing systems. FL variations were found to be dependent on the type of producer and crop. FL values were lower for large producers and for products with high international demand. Smaller producers generally reported higher FL values due to a lack of trained personnel and low application of technological practices or equipment. The transdisciplinary approach used here also led to solutions, which can be a key step to mitigating FL and to transitioning to a more sustainable approach. In developing countries, such as Mexico, it is important to create more and better connections between producers and institutions dedicated to avoiding FL.","author":[{"dropping-particle":"","family":"López-Sánchez","given":"Anaid","non-dropping-particle":"","parse-names":false,"suffix":""},{"dropping-particle":"","family":"Luque-Badillo","given":"Ana Cecilia","non-dropping-particle":"","parse-names":false,"suffix":""},{"dropping-particle":"","family":"Orozco-Nunnelly","given":"Danielle","non-dropping-particle":"","parse-names":false,"suffix":""},{"dropping-particle":"","family":"Alencastro-Larios","given":"Nadya Selene","non-dropping-particle":"","parse-names":false,"suffix":""},{"dropping-particle":"","family":"Ruiz-Gómez","given":"José Arturo","non-dropping-particle":"","parse-names":false,"suffix":""},{"dropping-particle":"","family":"García-Cayuela","given":"Tomás","non-dropping-particle":"","parse-names":false,"suffix":""},{"dropping-particle":"","family":"Gradilla-Hernández","given":"Misael Sebastián","non-dropping-particle":"","parse-names":false,"suffix":""}],"container-title":"Environmental Challenges","id":"ITEM-2","issued":{"date-parts":[["2021","12","1"]]},"page":"100327","publisher":"Elsevier","title":"Food loss in the agricultural sector of a developing country: Transitioning to a more sustainable approach. The case of Jalisco, Mexico.","type":"article-journal","volume":"5"},"uris":["http://www.mendeley.com/documents/?uuid=39f0bdb2-0e8c-3441-8534-f12ad392758a"]}],"mendeley":{"formattedCitation":"(Cuadras et al., 2021; López-Sánchez et al., 2021)","plainTextFormattedCitation":"(Cuadras et al., 2021; López-Sánchez et al., 2021)","previouslyFormattedCitation":"(Cuadras et al., 2021; López-Sánchez et al., 2021)"},"properties":{"noteIndex":0},"schema":"https://github.com/citation-style-language/schema/raw/master/csl-citation.json"}</w:instrText>
      </w:r>
      <w:r>
        <w:rPr>
          <w:color w:val="000000"/>
        </w:rPr>
        <w:fldChar w:fldCharType="separate"/>
      </w:r>
      <w:r w:rsidR="00376EEF" w:rsidRPr="00376EEF">
        <w:rPr>
          <w:noProof/>
          <w:color w:val="000000"/>
        </w:rPr>
        <w:t>(Cuadras et al., 2021; López-Sánchez et al., 2021)</w:t>
      </w:r>
      <w:r>
        <w:rPr>
          <w:color w:val="000000"/>
        </w:rPr>
        <w:fldChar w:fldCharType="end"/>
      </w:r>
      <w:r w:rsidR="00376EEF">
        <w:rPr>
          <w:color w:val="000000"/>
        </w:rPr>
        <w:t xml:space="preserve">. </w:t>
      </w:r>
      <w:r w:rsidR="00376EEF" w:rsidRPr="00376EEF">
        <w:rPr>
          <w:color w:val="000000"/>
        </w:rPr>
        <w:t>Para enfrentar desafíos como las industrias agrícolas y alimentarias, el cambio climático y la pérdida de biodiversidad, se necesita una transformación a múltiples escalas</w:t>
      </w:r>
      <w:r w:rsidR="00376EEF">
        <w:rPr>
          <w:color w:val="000000"/>
        </w:rPr>
        <w:t xml:space="preserve"> </w:t>
      </w:r>
      <w:r w:rsidR="00145A27">
        <w:rPr>
          <w:color w:val="000000"/>
        </w:rPr>
        <w:fldChar w:fldCharType="begin" w:fldLock="1"/>
      </w:r>
      <w:r w:rsidR="00145A27">
        <w:rPr>
          <w:color w:val="000000"/>
        </w:rPr>
        <w:instrText>ADDIN CSL_CITATION {"citationItems":[{"id":"ITEM-1","itemData":{"DOI":"10.1007/S13593-020-00646-Z/FIGURES/5","ISSN":"1773-0155","abstract":"There is consensus that the global food system is not delivering good nutrition for all and is causing environmental degradation and loss of biodiversity, such that a profound transformation is needed to meet the challenges of persistent malnutrition and rural poverty, aggravated by the growing consequences of climate change. Agroecological approaches have gained prominence in scientific, agricultural and political discourse in recent years, suggesting pathways to transform agricultural and food systems that address these issues. Here we present an extensive literature review of concepts, definitions and principles of agroecology, and their historical evolution, considering the three manifestations of agroecology as a science, a set of practices and a social movement; and relate them to the recent dialogue establishing a set of ten iconic elements of agroecology that have emerged from a global multi-stakeholder consultation and synthesis process. Based on this, a consolidated list of principles is developed and discussed in the context of presenting transition pathways to more sustainable food systems. The major outcomes of this paper are as follows. (1) Definition of 13 consolidated agroecological principles: recycling; input reduction; soil health; animal health; biodiversity; synergy; economic diversification; co-creation of knowledge; social values and diets; fairness; connectivity; land and natural resource governance; participation. (2) Confirmation that these principles are well aligned and complementary to the 10 elements of agroecology developed by FAO but articulate requirements of soil and animal health more explicitly and distinguish between biodiversity and economic diversification. (3) Clarification that application of these generic principles can generate diverse pathways for incremental and transformational change towards more sustainable farming and food systems. (4) Identification of four key entry points associated with the elements: diversity; circular and solidarity economy; co-creation and sharing of knowledge; and, responsible governance to enable plausible pathways of transformative change towards sustainable agriculture and food systems.","author":[{"dropping-particle":"","family":"Wezel","given":"Alexander","non-dropping-particle":"","parse-names":false,"suffix":""},{"dropping-particle":"","family":"Gemmill Señor","given":"Bárbara","non-dropping-particle":"","parse-names":false,"suffix":""},{"dropping-particle":"","family":"Bezner Kerr","given":"Rachel","non-dropping-particle":"","parse-names":false,"suffix":""},{"dropping-particle":"","family":"Barrios","given":"Edmundo","non-dropping-particle":"","parse-names":false,"suffix":""},{"dropping-particle":"","family":"Rodrigues","given":"André","non-dropping-particle":"","parse-names":false,"suffix":""},{"dropping-particle":"","family":"Sinclair","given":"Fergus","non-dropping-particle":"","parse-names":false,"suffix":""}],"container-title":"Agronomy for Sustainable Development","id":"ITEM-1","issue":"6","issued":{"date-parts":[["2020","12","1"]]},"publisher":"Springer-Verlag Italia s.r.l.","title":"Agroecological principles and elements and their implications for transitioning to sustainable food systems. A review","type":"article-journal","volume":"40"},"uris":["http://www.mendeley.com/documents/?uuid=e2ea7f3e-d273-3b9a-a7c4-027b76d20a22"]}],"mendeley":{"formattedCitation":"(Wezel et al., 2020)","plainTextFormattedCitation":"(Wezel et al., 2020)","previouslyFormattedCitation":"(Wezel et al., 2020)"},"properties":{"noteIndex":0},"schema":"https://github.com/citation-style-language/schema/raw/master/csl-citation.json"}</w:instrText>
      </w:r>
      <w:r w:rsidR="00145A27">
        <w:rPr>
          <w:color w:val="000000"/>
        </w:rPr>
        <w:fldChar w:fldCharType="separate"/>
      </w:r>
      <w:r w:rsidR="00145A27" w:rsidRPr="00145A27">
        <w:rPr>
          <w:noProof/>
          <w:color w:val="000000"/>
        </w:rPr>
        <w:t>(Wezel et al., 2020)</w:t>
      </w:r>
      <w:r w:rsidR="00145A27">
        <w:rPr>
          <w:color w:val="000000"/>
        </w:rPr>
        <w:fldChar w:fldCharType="end"/>
      </w:r>
      <w:r w:rsidR="00145A27">
        <w:rPr>
          <w:color w:val="000000"/>
        </w:rPr>
        <w:t>.</w:t>
      </w:r>
      <w:r w:rsidR="00AC4DAD">
        <w:rPr>
          <w:color w:val="000000"/>
        </w:rPr>
        <w:t xml:space="preserve"> </w:t>
      </w:r>
      <w:r w:rsidR="00376EEF" w:rsidRPr="00376EEF">
        <w:rPr>
          <w:color w:val="000000"/>
        </w:rPr>
        <w:t>A pesar de los esfuerzos, persisten dudas sobre si se está avanzando o retrocediendo en el logro de los Objetivos de Desarrollo Sostenible (ODS), como la erradicación del hambre y la malnutrición. La implementación de sistemas agroecológicos puede facilitar esta transformación, proporcionando alimentos nutritivos a menor costo y dietas saludables de manera sostenible e inclusiva</w:t>
      </w:r>
      <w:r w:rsidR="00376EEF">
        <w:rPr>
          <w:color w:val="000000"/>
        </w:rPr>
        <w:t xml:space="preserve"> </w:t>
      </w:r>
      <w:r w:rsidR="00145A27">
        <w:rPr>
          <w:color w:val="000000"/>
        </w:rPr>
        <w:fldChar w:fldCharType="begin" w:fldLock="1"/>
      </w:r>
      <w:r w:rsidR="006373E5">
        <w:rPr>
          <w:color w:val="000000"/>
        </w:rPr>
        <w:instrText>ADDIN CSL_CITATION {"citationItems":[{"id":"ITEM-1","itemData":{"ISBN":"2663-807X","author":[{"dropping-particle":"","family":"FAO","given":"","non-dropping-particle":"","parse-names":false,"suffix":""},{"dropping-particle":"","family":"WHO","given":"","non-dropping-particle":"","parse-names":false,"suffix":""},{"dropping-particle":"","family":"IFAD","given":"","non-dropping-particle":"","parse-names":false,"suffix":""},{"dropping-particle":"","family":"UNICEF","given":"","non-dropping-particle":"","parse-names":false,"suffix":""},{"dropping-particle":"","family":"WFP","given":"","non-dropping-particle":"","parse-names":false,"suffix":""}],"editor":[{"dropping-particle":"","family":"Organización de las Naciones Unidas para la Alimentación y la Agricultura","given":"","non-dropping-particle":"","parse-names":false,"suffix":""}],"id":"ITEM-1","issued":{"date-parts":[["2022"]]},"title":"The State of Food Security and Nutrition in the World 2022","type":"book"},"uris":["http://www.mendeley.com/documents/?uuid=9cac80fb-0627-340a-938a-35f8d9f23d7c"]}],"mendeley":{"formattedCitation":"(FAO et al., 2022)","plainTextFormattedCitation":"(FAO et al., 2022)","previouslyFormattedCitation":"(FAO et al., 2022)"},"properties":{"noteIndex":0},"schema":"https://github.com/citation-style-language/schema/raw/master/csl-citation.json"}</w:instrText>
      </w:r>
      <w:r w:rsidR="00145A27">
        <w:rPr>
          <w:color w:val="000000"/>
        </w:rPr>
        <w:fldChar w:fldCharType="separate"/>
      </w:r>
      <w:r w:rsidR="00145A27" w:rsidRPr="00145A27">
        <w:rPr>
          <w:noProof/>
          <w:color w:val="000000"/>
        </w:rPr>
        <w:t>(FAO et al., 2022)</w:t>
      </w:r>
      <w:r w:rsidR="00145A27">
        <w:rPr>
          <w:color w:val="000000"/>
        </w:rPr>
        <w:fldChar w:fldCharType="end"/>
      </w:r>
      <w:r w:rsidR="008F4D33">
        <w:rPr>
          <w:color w:val="000000"/>
        </w:rPr>
        <w:t xml:space="preserve">. </w:t>
      </w:r>
    </w:p>
    <w:p w14:paraId="398CA82A" w14:textId="56AEC2B3" w:rsidR="008C3203" w:rsidRPr="00B357AD" w:rsidRDefault="008F4D33" w:rsidP="00B357AD">
      <w:pPr>
        <w:jc w:val="both"/>
        <w:rPr>
          <w:color w:val="000000"/>
        </w:rPr>
      </w:pPr>
      <w:r>
        <w:rPr>
          <w:color w:val="000000"/>
        </w:rPr>
        <w:t xml:space="preserve">Para contribuir al alcance de estos, se propone la aplicación y puesta en marcha de sistemas de producción agroecológicos como huertos agroecológicos, sistemas agroforestales y abonos orgánicos, las cuales son alternativas asequibles para los agricultores dado que requiere poco capital de inversión y les permite generar mayores ingresos económicos, a su vez </w:t>
      </w:r>
      <w:r w:rsidR="006373E5">
        <w:rPr>
          <w:color w:val="000000"/>
        </w:rPr>
        <w:t xml:space="preserve">les permite contribuir a la mitigación del cambio climático y la promoción de la seguridad y soberanía alimentaria </w:t>
      </w:r>
      <w:r w:rsidR="006373E5">
        <w:rPr>
          <w:color w:val="000000"/>
        </w:rPr>
        <w:fldChar w:fldCharType="begin" w:fldLock="1"/>
      </w:r>
      <w:r w:rsidR="00AC4DAD">
        <w:rPr>
          <w:color w:val="000000"/>
        </w:rPr>
        <w:instrText>ADDIN CSL_CITATION {"citationItems":[{"id":"ITEM-1","itemData":{"ISSN":"2806-5794","author":[{"dropping-particle":"","family":"Villacis-Aldás","given":"Luis A.","non-dropping-particle":"","parse-names":false,"suffix":""},{"dropping-particle":"","family":"León-Gordón","given":"Olguer A.","non-dropping-particle":"","parse-names":false,"suffix":""},{"dropping-particle":"","family":"Lascano-Muñoz","given":"Mishel K.","non-dropping-particle":"","parse-names":false,"suffix":""},{"dropping-particle":"","family":"Arieda-Rojas","given":"Jorge R.","non-dropping-particle":"","parse-names":false,"suffix":""}],"container-title":"Revista Científica Arbitrada Multidisciplinaria PENTACIENCIAS","id":"ITEM-1","issue":"2","issued":{"date-parts":[["2024"]]},"page":"220-227","title":"Sistemas y subsistemas agroecologicos y agroforestales","type":"article-journal","volume":"6"},"uris":["http://www.mendeley.com/documents/?uuid=6553ed9c-88b5-3a90-82a9-053ad76d3828"]}],"mendeley":{"formattedCitation":"(Villacis-Aldás et al., 2024)","plainTextFormattedCitation":"(Villacis-Aldás et al., 2024)","previouslyFormattedCitation":"(Villacis-Aldás et al., 2024)"},"properties":{"noteIndex":0},"schema":"https://github.com/citation-style-language/schema/raw/master/csl-citation.json"}</w:instrText>
      </w:r>
      <w:r w:rsidR="006373E5">
        <w:rPr>
          <w:color w:val="000000"/>
        </w:rPr>
        <w:fldChar w:fldCharType="separate"/>
      </w:r>
      <w:r w:rsidR="006373E5" w:rsidRPr="006373E5">
        <w:rPr>
          <w:noProof/>
          <w:color w:val="000000"/>
        </w:rPr>
        <w:t>(Villacis-Aldás et al., 2024)</w:t>
      </w:r>
      <w:r w:rsidR="006373E5">
        <w:rPr>
          <w:color w:val="000000"/>
        </w:rPr>
        <w:fldChar w:fldCharType="end"/>
      </w:r>
      <w:r w:rsidR="006373E5">
        <w:rPr>
          <w:color w:val="000000"/>
        </w:rPr>
        <w:t xml:space="preserve">. </w:t>
      </w:r>
      <w:r w:rsidR="00AC4DAD" w:rsidRPr="00AC4DAD">
        <w:rPr>
          <w:color w:val="000000"/>
        </w:rPr>
        <w:t>Por ello, un suelo vivo y sano es indispensable para la seguridad alimentaria, por lo que es esencial generar estrategias para mitigar el cambio climático promoviendo la fijación de carbono en el suelo a través de la acumulación de materia orgánica</w:t>
      </w:r>
      <w:r w:rsidR="00AC4DAD">
        <w:rPr>
          <w:color w:val="000000"/>
        </w:rPr>
        <w:t xml:space="preserve"> </w:t>
      </w:r>
      <w:r w:rsidR="00AC4DAD">
        <w:rPr>
          <w:color w:val="000000"/>
        </w:rPr>
        <w:fldChar w:fldCharType="begin" w:fldLock="1"/>
      </w:r>
      <w:r w:rsidR="00C12CE6">
        <w:rPr>
          <w:color w:val="000000"/>
        </w:rPr>
        <w:instrText>ADDIN CSL_CITATION {"citationItems":[{"id":"ITEM-1","itemData":{"DOI":"10.22267/RTEND.171801.68","ISSN":"0124-8693","abstract":"La preservación del suelo resulta prioritaria para todos los sectores de la sociedad, porque su deterioro repercute adversamente sobre otros componentes de la naturaleza y sobre los grupos sociales que necesitan del suelo. Por eso, es importante mantener la calidad y salud del suelo, para que la sociedad pueda garantizar su seguridad alimentaria y disfrutar de los servicios ecosistémicos que presta este recurso natural. En este artículo se revisan los conceptos centrales que buscan explicar las relaciones del suelo con la naturaleza y con las personas.","author":[{"dropping-particle":"","family":"Burbano-Orjuela","given":"Hernán","non-dropping-particle":"","parse-names":false,"suffix":""}],"container-title":"Tendencias","id":"ITEM-1","issue":"1","issued":{"date-parts":[["2017","2","16"]]},"page":"118-126","publisher":"Facultad de Ciencias Económicas y administrativas","title":"LA CALIDAD Y SALUD DEL SUELO INFLUYEN SOBRE LA NATURALEZA Y LA SOCIEDAD","type":"article-journal","volume":"18"},"uris":["http://www.mendeley.com/documents/?uuid=a8006fc1-ddbe-3f87-960e-077b60de5ae6"]}],"mendeley":{"formattedCitation":"(Burbano-Orjuela, 2017)","plainTextFormattedCitation":"(Burbano-Orjuela, 2017)","previouslyFormattedCitation":"(Burbano-Orjuela, 2017)"},"properties":{"noteIndex":0},"schema":"https://github.com/citation-style-language/schema/raw/master/csl-citation.json"}</w:instrText>
      </w:r>
      <w:r w:rsidR="00AC4DAD">
        <w:rPr>
          <w:color w:val="000000"/>
        </w:rPr>
        <w:fldChar w:fldCharType="separate"/>
      </w:r>
      <w:r w:rsidR="00AC4DAD" w:rsidRPr="00AC4DAD">
        <w:rPr>
          <w:noProof/>
          <w:color w:val="000000"/>
        </w:rPr>
        <w:t>(Burbano-Orjuela, 2017)</w:t>
      </w:r>
      <w:r w:rsidR="00AC4DAD">
        <w:rPr>
          <w:color w:val="000000"/>
        </w:rPr>
        <w:fldChar w:fldCharType="end"/>
      </w:r>
      <w:r w:rsidR="00AC4DAD">
        <w:rPr>
          <w:color w:val="000000"/>
        </w:rPr>
        <w:t>.</w:t>
      </w:r>
    </w:p>
    <w:p w14:paraId="70DEA1C8" w14:textId="27F15CC2" w:rsidR="00AC4DAD" w:rsidRDefault="00AC4DAD" w:rsidP="0024379C"/>
    <w:p w14:paraId="718055EA" w14:textId="345A8FB8" w:rsidR="00AC4DAD" w:rsidRDefault="00AC4DAD" w:rsidP="000F30BB">
      <w:pPr>
        <w:jc w:val="both"/>
        <w:rPr>
          <w:b/>
        </w:rPr>
      </w:pPr>
      <w:r>
        <w:rPr>
          <w:b/>
        </w:rPr>
        <w:t>MATERIALES Y MÉTODOS</w:t>
      </w:r>
    </w:p>
    <w:p w14:paraId="6AC3874A" w14:textId="0FA3E389" w:rsidR="000F30BB" w:rsidRDefault="00AC4DAD" w:rsidP="000F30BB">
      <w:pPr>
        <w:jc w:val="both"/>
      </w:pPr>
      <w:r w:rsidRPr="00AC4DAD">
        <w:t>La finca Bellavista se encuentra ubicada en el municipio de Ibagué, vereda Pericos del centro Poblado Gamboa, departamento del Tolima, ubicado en la cordillera Central de Colombia en el sistema mo</w:t>
      </w:r>
      <w:r w:rsidR="000F30BB">
        <w:t>ntañoso de la región Andina (Figura 1).</w:t>
      </w:r>
    </w:p>
    <w:p w14:paraId="1D5CBC4A" w14:textId="06D476D2" w:rsidR="00631633" w:rsidRDefault="00C57E90" w:rsidP="000F30BB">
      <w:pPr>
        <w:jc w:val="both"/>
      </w:pPr>
      <w:r>
        <w:rPr>
          <w:noProof/>
          <w:lang w:val="en-US"/>
        </w:rPr>
        <w:lastRenderedPageBreak/>
        <w:drawing>
          <wp:inline distT="0" distB="0" distL="0" distR="0" wp14:anchorId="094BA551" wp14:editId="46A7E712">
            <wp:extent cx="5610225" cy="3629025"/>
            <wp:effectExtent l="0" t="0" r="9525" b="9525"/>
            <wp:docPr id="6" name="Imagen 6" descr="C:\Users\Usuario\Downloads\WhatsApp Image 2024-09-12 at 10.40.1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WhatsApp Image 2024-09-12 at 10.40.11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0225" cy="3629025"/>
                    </a:xfrm>
                    <a:prstGeom prst="rect">
                      <a:avLst/>
                    </a:prstGeom>
                    <a:noFill/>
                    <a:ln>
                      <a:noFill/>
                    </a:ln>
                  </pic:spPr>
                </pic:pic>
              </a:graphicData>
            </a:graphic>
          </wp:inline>
        </w:drawing>
      </w:r>
    </w:p>
    <w:p w14:paraId="441170B0" w14:textId="5E9EC1AB" w:rsidR="00631633" w:rsidRPr="00C57E90" w:rsidRDefault="00C57E90" w:rsidP="00C57E90">
      <w:pPr>
        <w:jc w:val="center"/>
      </w:pPr>
      <w:r>
        <w:t>Figura 1. Mapa de la ubicación geográfica de la Finca Bellavista, Tolima, Colombia.</w:t>
      </w:r>
    </w:p>
    <w:p w14:paraId="151FE3C4" w14:textId="34823D17" w:rsidR="000F30BB" w:rsidRDefault="000F30BB" w:rsidP="000F30BB">
      <w:pPr>
        <w:jc w:val="both"/>
      </w:pPr>
      <w:r w:rsidRPr="000F30BB">
        <w:t xml:space="preserve">La metodología </w:t>
      </w:r>
      <w:r w:rsidR="00C57E90">
        <w:t>se basó</w:t>
      </w:r>
      <w:r w:rsidRPr="000F30BB">
        <w:t xml:space="preserve"> en la Herramienta Didáctica para la planificación de fincas </w:t>
      </w:r>
      <w:proofErr w:type="spellStart"/>
      <w:r w:rsidRPr="000F30BB">
        <w:t>resilientes</w:t>
      </w:r>
      <w:proofErr w:type="spellEnd"/>
      <w:r w:rsidR="00C57E90">
        <w:t xml:space="preserve"> </w:t>
      </w:r>
      <w:r w:rsidR="00C57E90">
        <w:fldChar w:fldCharType="begin" w:fldLock="1"/>
      </w:r>
      <w:r w:rsidR="006F21E6">
        <w:instrText>ADDIN CSL_CITATION {"citationItems":[{"id":"ITEM-1","itemData":{"author":[{"dropping-particle":"","family":"Henao","given":"Alejandro","non-dropping-particle":"","parse-names":false,"suffix":""},{"dropping-particle":"","family":"Altieri","given":"Miguel","non-dropping-particle":"","parse-names":false,"suffix":""},{"dropping-particle":"","family":"Nicholls","given":"Clara","non-dropping-particle":"","parse-names":false,"suffix":""}],"container-title":"Socla - Redagres","id":"ITEM-1","issued":{"date-parts":[["2016"]]},"title":"Herramienta didáctica para evaluar y manejar sistemas resilientes","type":"article-journal"},"uris":["http://www.mendeley.com/documents/?uuid=e1cf79c4-7fd0-3fbb-8327-12fe1890e45e"]}],"mendeley":{"formattedCitation":"(Henao et al., 2016)","plainTextFormattedCitation":"(Henao et al., 2016)","previouslyFormattedCitation":"(Henao et al., 2016)"},"properties":{"noteIndex":0},"schema":"https://github.com/citation-style-language/schema/raw/master/csl-citation.json"}</w:instrText>
      </w:r>
      <w:r w:rsidR="00C57E90">
        <w:fldChar w:fldCharType="separate"/>
      </w:r>
      <w:r w:rsidR="00C57E90" w:rsidRPr="00C57E90">
        <w:rPr>
          <w:noProof/>
        </w:rPr>
        <w:t>(Henao et al., 2016)</w:t>
      </w:r>
      <w:r w:rsidR="00C57E90">
        <w:fldChar w:fldCharType="end"/>
      </w:r>
      <w:r>
        <w:t xml:space="preserve"> </w:t>
      </w:r>
      <w:r w:rsidRPr="000F30BB">
        <w:t>y en la evaluación de indicadores de calidad del suelo y salud del cultivo</w:t>
      </w:r>
      <w:r w:rsidR="006F21E6">
        <w:t xml:space="preserve"> </w:t>
      </w:r>
      <w:r w:rsidR="006F21E6">
        <w:fldChar w:fldCharType="begin" w:fldLock="1"/>
      </w:r>
      <w:r w:rsidR="00007BE0">
        <w:instrText>ADDIN CSL_CITATION {"citationItems":[{"id":"ITEM-1","itemData":{"abstract":"Se propone una metodología para estimar la calidad del suelo y la salud de un cultivo, utilizando indicadores sencillos de emplear. Con base en la estimación de estos indicadores, el productor y el investigador pueden determinar el estado agroecológico de la plantación. Con los valores obtenidos para cada indicador se construyen diagramas tipo \"ameba\", que permiten visualizar el estado general de la calidad del suelo y la salud del cultivo, . La metodología,aunque fue diseñada para café,es aplicable a otros agroecosistemas.","author":[{"dropping-particle":"","family":"Altieri","given":"Miguel","non-dropping-particle":"","parse-names":false,"suffix":""},{"dropping-particle":"","family":"Nicholls","given":"Clara","non-dropping-particle":"","parse-names":false,"suffix":""}],"container-title":"Manejo integrado de plagas y Agroecología","id":"ITEM-1","issue":"64","issued":{"date-parts":[["2002"]]},"page":"17-24","title":"Un Metodo Agroecologico Rapido para la Evalución de la Sostenibilidad de Cafetales","type":"article-journal"},"uris":["http://www.mendeley.com/documents/?uuid=7c65ba1e-1da3-4551-9a9a-c2f92aa38e99"]}],"mendeley":{"formattedCitation":"(Altieri &amp; Nicholls, 2002)","plainTextFormattedCitation":"(Altieri &amp; Nicholls, 2002)","previouslyFormattedCitation":"(Altieri &amp; Nicholls, 2002)"},"properties":{"noteIndex":0},"schema":"https://github.com/citation-style-language/schema/raw/master/csl-citation.json"}</w:instrText>
      </w:r>
      <w:r w:rsidR="006F21E6">
        <w:fldChar w:fldCharType="separate"/>
      </w:r>
      <w:r w:rsidR="006F21E6" w:rsidRPr="006F21E6">
        <w:rPr>
          <w:noProof/>
        </w:rPr>
        <w:t>(Altieri &amp; Nicholls, 2002)</w:t>
      </w:r>
      <w:r w:rsidR="006F21E6">
        <w:fldChar w:fldCharType="end"/>
      </w:r>
      <w:r w:rsidRPr="000F30BB">
        <w:t>. Las etapas se describen e</w:t>
      </w:r>
      <w:r>
        <w:t>n la figura 2.</w:t>
      </w:r>
    </w:p>
    <w:p w14:paraId="62C39F51" w14:textId="0B9625A5" w:rsidR="000F30BB" w:rsidRDefault="00F148EF" w:rsidP="00F148EF">
      <w:pPr>
        <w:jc w:val="center"/>
      </w:pPr>
      <w:r>
        <w:rPr>
          <w:noProof/>
          <w:lang w:val="en-US"/>
        </w:rPr>
        <w:drawing>
          <wp:inline distT="0" distB="0" distL="0" distR="0" wp14:anchorId="6821A0D9" wp14:editId="6D2490FD">
            <wp:extent cx="3886200" cy="2286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86200" cy="2286000"/>
                    </a:xfrm>
                    <a:prstGeom prst="rect">
                      <a:avLst/>
                    </a:prstGeom>
                  </pic:spPr>
                </pic:pic>
              </a:graphicData>
            </a:graphic>
          </wp:inline>
        </w:drawing>
      </w:r>
    </w:p>
    <w:p w14:paraId="1A2ED534" w14:textId="404AC63D" w:rsidR="00631633" w:rsidRDefault="00631633" w:rsidP="00F148EF">
      <w:pPr>
        <w:jc w:val="center"/>
      </w:pPr>
      <w:r>
        <w:t>Figura 2. Etapas de la investigación</w:t>
      </w:r>
    </w:p>
    <w:p w14:paraId="4209FE7F" w14:textId="20E704A3" w:rsidR="000F30BB" w:rsidRDefault="000F30BB" w:rsidP="000F30BB">
      <w:pPr>
        <w:jc w:val="both"/>
        <w:rPr>
          <w:b/>
          <w:i/>
        </w:rPr>
      </w:pPr>
      <w:r>
        <w:rPr>
          <w:b/>
          <w:i/>
        </w:rPr>
        <w:t>Etapa 1</w:t>
      </w:r>
    </w:p>
    <w:p w14:paraId="59A992F7" w14:textId="76C665BE" w:rsidR="000F30BB" w:rsidRDefault="000F30BB" w:rsidP="000F30BB">
      <w:pPr>
        <w:jc w:val="both"/>
      </w:pPr>
      <w:r w:rsidRPr="000F30BB">
        <w:t xml:space="preserve">En </w:t>
      </w:r>
      <w:r>
        <w:t>la primera etapa,</w:t>
      </w:r>
      <w:r w:rsidRPr="000F30BB">
        <w:t xml:space="preserve"> se generó el acercamiento al productor durante un periodo de dos años, se realizaron visitas que permitieron conocer la adopción de prácticas agroecológicas por parte del productor de la finca.  Se generaron diálogos de saberes con el productor y su familia. Una vez </w:t>
      </w:r>
      <w:r w:rsidRPr="000F30BB">
        <w:lastRenderedPageBreak/>
        <w:t>socializado el objetivo de la investigación se procedió a definir las estrategias para la adecuación de tres subsistemas dentro del diseño de la finca b</w:t>
      </w:r>
      <w:r>
        <w:t>ajo principios agroecológicos y</w:t>
      </w:r>
      <w:r w:rsidRPr="000F30BB">
        <w:t xml:space="preserve"> se conformaron tres equipos de trabajo.</w:t>
      </w:r>
    </w:p>
    <w:p w14:paraId="343A2821" w14:textId="36224870" w:rsidR="000F30BB" w:rsidRDefault="000F30BB" w:rsidP="000F30BB">
      <w:pPr>
        <w:jc w:val="both"/>
      </w:pPr>
    </w:p>
    <w:p w14:paraId="5C41D158" w14:textId="2F202B71" w:rsidR="000F30BB" w:rsidRDefault="000F30BB" w:rsidP="000F30BB">
      <w:pPr>
        <w:jc w:val="both"/>
        <w:rPr>
          <w:b/>
          <w:i/>
        </w:rPr>
      </w:pPr>
      <w:r>
        <w:rPr>
          <w:b/>
          <w:i/>
        </w:rPr>
        <w:t>Etapa 2</w:t>
      </w:r>
    </w:p>
    <w:p w14:paraId="002F6A24" w14:textId="02DC2F95" w:rsidR="000F30BB" w:rsidRPr="000F30BB" w:rsidRDefault="000F30BB" w:rsidP="000F30BB">
      <w:pPr>
        <w:jc w:val="both"/>
      </w:pPr>
      <w:r w:rsidRPr="000F30BB">
        <w:t>Cada equipo de trabajo conforma</w:t>
      </w:r>
      <w:r w:rsidR="00D002FC">
        <w:t xml:space="preserve">do, </w:t>
      </w:r>
      <w:r>
        <w:t xml:space="preserve">planteó una propuesta de </w:t>
      </w:r>
      <w:r w:rsidRPr="000F30BB">
        <w:t>diseño para cada subsistema, acordando la adecuación de los siguientes subsistemas:  abonos orgánicos, un huerto agroecológico y un subsistema agroforestal (SAF).  Una vez analizadas l</w:t>
      </w:r>
      <w:r w:rsidR="00D002FC">
        <w:t>as propuestas compartidas</w:t>
      </w:r>
      <w:r w:rsidRPr="000F30BB">
        <w:t xml:space="preserve"> con el productor y su familia, se procedió a desarrollar el trabajo durante el primer semestre</w:t>
      </w:r>
      <w:r>
        <w:t xml:space="preserve"> del año 2024 (febrero a mayo) </w:t>
      </w:r>
      <w:r w:rsidRPr="000F30BB">
        <w:t>y continuando las actividades en el resto del año. Se generaron dos talleres para la evaluación de la calidad del suelo y salud del cultivo y cada grupo a su vez visitó la finca periódicamente para desarrollar las actividades dentro del subsistema a su cargo. Los resultados de la evaluación de los suelos por métodos rápidos y fáciles de realizar en campo, fue compartida al productor y su familia.</w:t>
      </w:r>
    </w:p>
    <w:p w14:paraId="220EDC25" w14:textId="615E5D2C" w:rsidR="000F30BB" w:rsidRDefault="000F30BB" w:rsidP="000F30BB">
      <w:pPr>
        <w:jc w:val="both"/>
      </w:pPr>
    </w:p>
    <w:p w14:paraId="7C295319" w14:textId="7C6125F6" w:rsidR="000F30BB" w:rsidRDefault="000F30BB" w:rsidP="000F30BB">
      <w:pPr>
        <w:jc w:val="both"/>
        <w:rPr>
          <w:b/>
          <w:i/>
        </w:rPr>
      </w:pPr>
      <w:r>
        <w:rPr>
          <w:b/>
          <w:i/>
        </w:rPr>
        <w:t>Etapa 3</w:t>
      </w:r>
    </w:p>
    <w:p w14:paraId="35FA5098" w14:textId="7EAE6792" w:rsidR="000F30BB" w:rsidRDefault="000F30BB" w:rsidP="000F30BB">
      <w:pPr>
        <w:jc w:val="both"/>
      </w:pPr>
      <w:r w:rsidRPr="000F30BB">
        <w:t>Se visitó la finca durante dos meses cada semana para realizar las adecuaciones para cada subsistema, revisar las especies forestales adecuadas a la zona y contando con el apoyo y conocimiento del productor.  Para la recolección de información se generaron encuentros con el productor, además de revisión bibliográfica para establecer especies vegetales endémicas o que se adapten a las características de las zonas de vida.</w:t>
      </w:r>
    </w:p>
    <w:p w14:paraId="03C8376A" w14:textId="77777777" w:rsidR="000F30BB" w:rsidRPr="000F30BB" w:rsidRDefault="000F30BB" w:rsidP="000F30BB">
      <w:pPr>
        <w:jc w:val="both"/>
      </w:pPr>
    </w:p>
    <w:p w14:paraId="1DBEF24C" w14:textId="33029C39" w:rsidR="000F30BB" w:rsidRDefault="000F30BB" w:rsidP="000F30BB">
      <w:pPr>
        <w:jc w:val="both"/>
        <w:rPr>
          <w:b/>
          <w:i/>
        </w:rPr>
      </w:pPr>
      <w:r>
        <w:rPr>
          <w:b/>
          <w:i/>
        </w:rPr>
        <w:t>Etapa 4</w:t>
      </w:r>
    </w:p>
    <w:p w14:paraId="37404FB3" w14:textId="3055F78F" w:rsidR="000F30BB" w:rsidRDefault="000F30BB" w:rsidP="000F30BB">
      <w:pPr>
        <w:jc w:val="both"/>
      </w:pPr>
      <w:r>
        <w:t xml:space="preserve">La metodología que se llevó a cabo a lo largo del semestre para el subsistema de abonos orgánicos se basó en la organización y demarcación de una sección específica para el almacenamiento y elaboración de enmiendas orgánicas y </w:t>
      </w:r>
      <w:proofErr w:type="spellStart"/>
      <w:r>
        <w:t>biopreparados</w:t>
      </w:r>
      <w:proofErr w:type="spellEnd"/>
      <w:r>
        <w:t xml:space="preserve"> claves para las estrechas interdependencias existentes con otros subsistemas presentes en la finca. Para la implementación del subsistema del huerto agroecológico se realiza la adecuación del terreno que el productor tenía adecuado para este fin, en diálogo con la esposa del productor se definieron las especies vegetales que se sembraran en el huerto y que representan para la familia una forma de </w:t>
      </w:r>
      <w:proofErr w:type="spellStart"/>
      <w:r>
        <w:t>autosostenimiento</w:t>
      </w:r>
      <w:proofErr w:type="spellEnd"/>
      <w:r>
        <w:t>.</w:t>
      </w:r>
    </w:p>
    <w:p w14:paraId="063011D3" w14:textId="393E61BE" w:rsidR="000F30BB" w:rsidRPr="000F30BB" w:rsidRDefault="000F30BB" w:rsidP="000F30BB">
      <w:pPr>
        <w:jc w:val="both"/>
      </w:pPr>
      <w:r>
        <w:t>Para implementar el ensayo de SAF, se definió a criterio del productor la unidad donde se realizó la adecuación, considerando que es un lote poco utilizado por las características del terreno en cuanto a una pendiente muy pronunciada (60%) y con problemas de erosión exposición del suelo a las lluvias, exposición a pleno sol, entre otros. Se realizaron adecuaciones asociadas con uso de enmiendas orgánicas, siembra de especies forestales, leguminosas entre otras.</w:t>
      </w:r>
    </w:p>
    <w:p w14:paraId="6D07063C" w14:textId="28E83DE9" w:rsidR="000F30BB" w:rsidRDefault="000F30BB">
      <w:pPr>
        <w:jc w:val="both"/>
      </w:pPr>
    </w:p>
    <w:p w14:paraId="709BEA43" w14:textId="67064C0C" w:rsidR="00D002FC" w:rsidRDefault="00D002FC">
      <w:pPr>
        <w:jc w:val="both"/>
        <w:rPr>
          <w:b/>
        </w:rPr>
      </w:pPr>
      <w:r>
        <w:rPr>
          <w:b/>
        </w:rPr>
        <w:t>RESULTADOS</w:t>
      </w:r>
    </w:p>
    <w:p w14:paraId="77A047E4" w14:textId="0413035E" w:rsidR="00D002FC" w:rsidRPr="006C256D" w:rsidRDefault="00D002FC">
      <w:pPr>
        <w:jc w:val="both"/>
        <w:rPr>
          <w:b/>
          <w:i/>
        </w:rPr>
      </w:pPr>
      <w:r w:rsidRPr="006C256D">
        <w:rPr>
          <w:b/>
          <w:i/>
        </w:rPr>
        <w:t>Etapa 1</w:t>
      </w:r>
      <w:r w:rsidR="00F148EF">
        <w:rPr>
          <w:b/>
          <w:i/>
        </w:rPr>
        <w:t>: Dialogo de saberes y conformación de equipos de trabajo</w:t>
      </w:r>
    </w:p>
    <w:p w14:paraId="01417E81" w14:textId="62B6BCBC" w:rsidR="00C53573" w:rsidRDefault="00C53573">
      <w:pPr>
        <w:jc w:val="both"/>
      </w:pPr>
      <w:r w:rsidRPr="00C53573">
        <w:lastRenderedPageBreak/>
        <w:t>Para la implementación de los sistemas agroalimentarios regenerativos en la finca Bellavista, la metodología fue liderada por una docente de la Universidad de Ibagué, desde la asignatura de Agroecología, en colaboración con la familia residente en la finca y los estudiantes del curso. Durante las conversaciones con el productor, se identificaron los aspectos clave del manejo de la finca y las prácticas actuales para desarrollar un sistema sostenible. A partir de estas discusiones, se establecieron tres subsistemas: agroforestal, abonos orgánicos y el huerto familiar. Se formaron tres equipos de trabajo, cada uno compuesto por cinco estudiantes, para imp</w:t>
      </w:r>
      <w:r>
        <w:t>lementar estos subsistemas (</w:t>
      </w:r>
      <w:r w:rsidRPr="00C53573">
        <w:t>Tabla 1). La elección de los subsistemas se basó en las necesidades específicas de la finca, la accesibilidad del productor y los beneficios potenciales que podrían aportar.</w:t>
      </w:r>
    </w:p>
    <w:p w14:paraId="6D7C0E58" w14:textId="0179BD1B" w:rsidR="006C256D" w:rsidRPr="006C256D" w:rsidRDefault="006C256D" w:rsidP="006C256D">
      <w:pPr>
        <w:jc w:val="center"/>
        <w:rPr>
          <w:i/>
        </w:rPr>
      </w:pPr>
      <w:r w:rsidRPr="006C256D">
        <w:rPr>
          <w:i/>
        </w:rPr>
        <w:t>Tabla 1. Equipos de trabajo para la implementación de un sistema agroecológico</w:t>
      </w:r>
      <w:r>
        <w:rPr>
          <w:i/>
        </w:rPr>
        <w:t xml:space="preserve"> en la finca Bellavista</w:t>
      </w:r>
    </w:p>
    <w:tbl>
      <w:tblPr>
        <w:tblStyle w:val="Tablaconcuadrcula"/>
        <w:tblW w:w="0" w:type="auto"/>
        <w:jc w:val="center"/>
        <w:tblLook w:val="04A0" w:firstRow="1" w:lastRow="0" w:firstColumn="1" w:lastColumn="0" w:noHBand="0" w:noVBand="1"/>
      </w:tblPr>
      <w:tblGrid>
        <w:gridCol w:w="816"/>
        <w:gridCol w:w="3754"/>
      </w:tblGrid>
      <w:tr w:rsidR="00F56452" w14:paraId="5F3B969F" w14:textId="77777777" w:rsidTr="00F56452">
        <w:trPr>
          <w:trHeight w:val="269"/>
          <w:jc w:val="center"/>
        </w:trPr>
        <w:tc>
          <w:tcPr>
            <w:tcW w:w="816" w:type="dxa"/>
            <w:tcBorders>
              <w:top w:val="single" w:sz="4" w:space="0" w:color="auto"/>
              <w:left w:val="nil"/>
              <w:bottom w:val="single" w:sz="4" w:space="0" w:color="auto"/>
              <w:right w:val="nil"/>
            </w:tcBorders>
          </w:tcPr>
          <w:p w14:paraId="71F93343" w14:textId="6AB70EF7" w:rsidR="00F56452" w:rsidRPr="00F56452" w:rsidRDefault="00F56452" w:rsidP="00F56452">
            <w:pPr>
              <w:jc w:val="center"/>
              <w:rPr>
                <w:b/>
              </w:rPr>
            </w:pPr>
            <w:r w:rsidRPr="00F56452">
              <w:rPr>
                <w:b/>
              </w:rPr>
              <w:t>Grupo</w:t>
            </w:r>
          </w:p>
        </w:tc>
        <w:tc>
          <w:tcPr>
            <w:tcW w:w="3754" w:type="dxa"/>
            <w:tcBorders>
              <w:top w:val="single" w:sz="4" w:space="0" w:color="auto"/>
              <w:left w:val="nil"/>
              <w:bottom w:val="single" w:sz="4" w:space="0" w:color="auto"/>
              <w:right w:val="nil"/>
            </w:tcBorders>
          </w:tcPr>
          <w:p w14:paraId="00307D17" w14:textId="77D2876E" w:rsidR="00F56452" w:rsidRPr="00F56452" w:rsidRDefault="00F56452" w:rsidP="00F56452">
            <w:pPr>
              <w:jc w:val="center"/>
              <w:rPr>
                <w:b/>
              </w:rPr>
            </w:pPr>
            <w:r w:rsidRPr="00F56452">
              <w:rPr>
                <w:b/>
              </w:rPr>
              <w:t>Subsistema agroecológico</w:t>
            </w:r>
          </w:p>
        </w:tc>
      </w:tr>
      <w:tr w:rsidR="00F56452" w14:paraId="48A4EA04" w14:textId="77777777" w:rsidTr="00F56452">
        <w:trPr>
          <w:trHeight w:val="827"/>
          <w:jc w:val="center"/>
        </w:trPr>
        <w:tc>
          <w:tcPr>
            <w:tcW w:w="816" w:type="dxa"/>
            <w:tcBorders>
              <w:top w:val="single" w:sz="4" w:space="0" w:color="auto"/>
              <w:left w:val="nil"/>
              <w:bottom w:val="single" w:sz="4" w:space="0" w:color="auto"/>
              <w:right w:val="nil"/>
            </w:tcBorders>
          </w:tcPr>
          <w:p w14:paraId="142C103D" w14:textId="77777777" w:rsidR="00F56452" w:rsidRDefault="00F56452" w:rsidP="00F56452">
            <w:pPr>
              <w:jc w:val="center"/>
            </w:pPr>
            <w:r>
              <w:t>1</w:t>
            </w:r>
          </w:p>
          <w:p w14:paraId="06ADB95F" w14:textId="77777777" w:rsidR="00F56452" w:rsidRDefault="00F56452" w:rsidP="00F56452">
            <w:pPr>
              <w:jc w:val="center"/>
            </w:pPr>
            <w:r>
              <w:t>2</w:t>
            </w:r>
          </w:p>
          <w:p w14:paraId="0C0E459B" w14:textId="51AD31E0" w:rsidR="00F56452" w:rsidRDefault="00F56452" w:rsidP="00F56452">
            <w:pPr>
              <w:jc w:val="center"/>
            </w:pPr>
            <w:r>
              <w:t>3</w:t>
            </w:r>
          </w:p>
        </w:tc>
        <w:tc>
          <w:tcPr>
            <w:tcW w:w="3754" w:type="dxa"/>
            <w:tcBorders>
              <w:top w:val="single" w:sz="4" w:space="0" w:color="auto"/>
              <w:left w:val="nil"/>
              <w:bottom w:val="single" w:sz="4" w:space="0" w:color="auto"/>
              <w:right w:val="nil"/>
            </w:tcBorders>
          </w:tcPr>
          <w:p w14:paraId="2D75BAD5" w14:textId="77777777" w:rsidR="00F56452" w:rsidRDefault="00F56452" w:rsidP="00F56452">
            <w:r>
              <w:t>Huerto agroecológico familiar (HAF)</w:t>
            </w:r>
          </w:p>
          <w:p w14:paraId="188D4F47" w14:textId="77777777" w:rsidR="00F56452" w:rsidRDefault="00F56452" w:rsidP="00F56452">
            <w:r>
              <w:t>Agroforestal (SAF)</w:t>
            </w:r>
          </w:p>
          <w:p w14:paraId="1A910621" w14:textId="00271EBA" w:rsidR="00F56452" w:rsidRDefault="00F56452" w:rsidP="00F56452">
            <w:r>
              <w:t>Abonos orgánicos</w:t>
            </w:r>
          </w:p>
        </w:tc>
      </w:tr>
    </w:tbl>
    <w:p w14:paraId="0F4E2684" w14:textId="5A9DBE75" w:rsidR="00F56452" w:rsidRDefault="00F56452">
      <w:pPr>
        <w:jc w:val="both"/>
      </w:pPr>
    </w:p>
    <w:p w14:paraId="1E51F70B" w14:textId="6DD8698D" w:rsidR="00C53573" w:rsidRDefault="00C53573" w:rsidP="00C53573">
      <w:pPr>
        <w:jc w:val="both"/>
      </w:pPr>
      <w:r>
        <w:t>El primer grupo se enfocó en la implementación del subsistema de huerto agroecológico familiar (HAF), que proporciona acceso a alimentos de alta calidad sin el uso de agroquímicos y representa una opción viable para promover la soberanía alimentaria. El segundo equipo se dedicó a la aplicación del subsistema agroforestal, el cual integra cultivos agrícolas con especies forestales a través de combinaciones espaciales o temporales, con el objetivo de diversificar la producción. Finalmente, el tercer grupo centró sus esfuerzos en la utilización de abonos orgánicos para satisfacer las necesidades del suelo en la finca Bellavista, con el propósito de enriquecerlo y fomentar una producción de cultivos sostenible (Tabla 2).</w:t>
      </w:r>
    </w:p>
    <w:p w14:paraId="37764F09" w14:textId="2D97E578" w:rsidR="006B164D" w:rsidRPr="006B164D" w:rsidRDefault="006B164D" w:rsidP="006B164D">
      <w:pPr>
        <w:jc w:val="center"/>
        <w:rPr>
          <w:i/>
        </w:rPr>
      </w:pPr>
      <w:r w:rsidRPr="006B164D">
        <w:rPr>
          <w:i/>
        </w:rPr>
        <w:t>Tabla 2. Prácticas de manejo agroecológico en la finca Bellavista, marzo 2024</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9"/>
        <w:gridCol w:w="3799"/>
      </w:tblGrid>
      <w:tr w:rsidR="006B164D" w14:paraId="01B55EDB" w14:textId="77777777" w:rsidTr="00A74DB3">
        <w:trPr>
          <w:trHeight w:val="278"/>
          <w:jc w:val="center"/>
        </w:trPr>
        <w:tc>
          <w:tcPr>
            <w:tcW w:w="3799" w:type="dxa"/>
            <w:tcBorders>
              <w:top w:val="single" w:sz="4" w:space="0" w:color="auto"/>
              <w:bottom w:val="single" w:sz="4" w:space="0" w:color="auto"/>
            </w:tcBorders>
          </w:tcPr>
          <w:p w14:paraId="27E481C4" w14:textId="543AB030" w:rsidR="006B164D" w:rsidRPr="006B164D" w:rsidRDefault="006B164D" w:rsidP="006B164D">
            <w:pPr>
              <w:jc w:val="center"/>
              <w:rPr>
                <w:b/>
              </w:rPr>
            </w:pPr>
            <w:r w:rsidRPr="006B164D">
              <w:rPr>
                <w:b/>
              </w:rPr>
              <w:t>Práctica</w:t>
            </w:r>
          </w:p>
        </w:tc>
        <w:tc>
          <w:tcPr>
            <w:tcW w:w="3799" w:type="dxa"/>
            <w:tcBorders>
              <w:top w:val="single" w:sz="4" w:space="0" w:color="auto"/>
              <w:bottom w:val="single" w:sz="4" w:space="0" w:color="auto"/>
            </w:tcBorders>
          </w:tcPr>
          <w:p w14:paraId="045310BA" w14:textId="4E916A59" w:rsidR="006B164D" w:rsidRPr="006B164D" w:rsidRDefault="006B164D" w:rsidP="006B164D">
            <w:pPr>
              <w:jc w:val="center"/>
              <w:rPr>
                <w:b/>
              </w:rPr>
            </w:pPr>
            <w:r w:rsidRPr="006B164D">
              <w:rPr>
                <w:b/>
              </w:rPr>
              <w:t>Beneficio</w:t>
            </w:r>
          </w:p>
        </w:tc>
      </w:tr>
      <w:tr w:rsidR="006B164D" w14:paraId="0E4C167C" w14:textId="77777777" w:rsidTr="00A74DB3">
        <w:trPr>
          <w:trHeight w:val="542"/>
          <w:jc w:val="center"/>
        </w:trPr>
        <w:tc>
          <w:tcPr>
            <w:tcW w:w="3799" w:type="dxa"/>
            <w:tcBorders>
              <w:top w:val="single" w:sz="4" w:space="0" w:color="auto"/>
            </w:tcBorders>
            <w:vAlign w:val="center"/>
          </w:tcPr>
          <w:p w14:paraId="26049C46" w14:textId="3693CB1E" w:rsidR="006B164D" w:rsidRDefault="006B164D" w:rsidP="006B164D">
            <w:pPr>
              <w:jc w:val="center"/>
            </w:pPr>
            <w:r>
              <w:t>Cultivos de cobertura</w:t>
            </w:r>
          </w:p>
        </w:tc>
        <w:tc>
          <w:tcPr>
            <w:tcW w:w="3799" w:type="dxa"/>
            <w:tcBorders>
              <w:top w:val="single" w:sz="4" w:space="0" w:color="auto"/>
            </w:tcBorders>
          </w:tcPr>
          <w:p w14:paraId="19EC036C" w14:textId="78DB6076" w:rsidR="006B164D" w:rsidRDefault="006B164D" w:rsidP="006B164D">
            <w:r w:rsidRPr="006B164D">
              <w:t>Conservación del suelo y reciclaje de materias en</w:t>
            </w:r>
            <w:r>
              <w:t>tre los componentes de la finca</w:t>
            </w:r>
            <w:r w:rsidR="00A74DB3">
              <w:t>.</w:t>
            </w:r>
          </w:p>
        </w:tc>
      </w:tr>
      <w:tr w:rsidR="006B164D" w14:paraId="44399A04" w14:textId="77777777" w:rsidTr="00A74DB3">
        <w:trPr>
          <w:trHeight w:val="821"/>
          <w:jc w:val="center"/>
        </w:trPr>
        <w:tc>
          <w:tcPr>
            <w:tcW w:w="3799" w:type="dxa"/>
            <w:shd w:val="clear" w:color="auto" w:fill="auto"/>
            <w:vAlign w:val="center"/>
          </w:tcPr>
          <w:p w14:paraId="18075B21" w14:textId="5EE40A8C" w:rsidR="006B164D" w:rsidRDefault="006B164D" w:rsidP="006B164D">
            <w:pPr>
              <w:jc w:val="center"/>
            </w:pPr>
            <w:r>
              <w:t>Policultivos</w:t>
            </w:r>
          </w:p>
        </w:tc>
        <w:tc>
          <w:tcPr>
            <w:tcW w:w="3799" w:type="dxa"/>
            <w:shd w:val="clear" w:color="auto" w:fill="auto"/>
          </w:tcPr>
          <w:p w14:paraId="6D3FD0C9" w14:textId="13109810" w:rsidR="006B164D" w:rsidRDefault="006B164D">
            <w:pPr>
              <w:jc w:val="both"/>
            </w:pPr>
            <w:r w:rsidRPr="006B164D">
              <w:t>Restablecer las relaciones biológicas en la finca, que contribuye a aumentar el número de especies en el sistema</w:t>
            </w:r>
            <w:r w:rsidR="00A74DB3">
              <w:t>.</w:t>
            </w:r>
          </w:p>
        </w:tc>
      </w:tr>
      <w:tr w:rsidR="006B164D" w14:paraId="2ED0867B" w14:textId="77777777" w:rsidTr="00A74DB3">
        <w:trPr>
          <w:trHeight w:val="557"/>
          <w:jc w:val="center"/>
        </w:trPr>
        <w:tc>
          <w:tcPr>
            <w:tcW w:w="3799" w:type="dxa"/>
            <w:shd w:val="clear" w:color="auto" w:fill="auto"/>
            <w:vAlign w:val="center"/>
          </w:tcPr>
          <w:p w14:paraId="70D673FA" w14:textId="6D759617" w:rsidR="006B164D" w:rsidRDefault="006B164D" w:rsidP="006B164D">
            <w:pPr>
              <w:jc w:val="center"/>
            </w:pPr>
            <w:r>
              <w:t>Borduras</w:t>
            </w:r>
          </w:p>
        </w:tc>
        <w:tc>
          <w:tcPr>
            <w:tcW w:w="3799" w:type="dxa"/>
            <w:shd w:val="clear" w:color="auto" w:fill="auto"/>
          </w:tcPr>
          <w:p w14:paraId="6E2C2691" w14:textId="7EA667C3" w:rsidR="006B164D" w:rsidRDefault="006B164D">
            <w:pPr>
              <w:jc w:val="both"/>
            </w:pPr>
            <w:r w:rsidRPr="006B164D">
              <w:t>Favorece la sostenibilidad del sistema y la biodiversidad en general</w:t>
            </w:r>
            <w:r w:rsidR="00A74DB3">
              <w:t>.</w:t>
            </w:r>
          </w:p>
        </w:tc>
      </w:tr>
      <w:tr w:rsidR="006B164D" w14:paraId="0D5F1366" w14:textId="77777777" w:rsidTr="00A74DB3">
        <w:trPr>
          <w:trHeight w:val="542"/>
          <w:jc w:val="center"/>
        </w:trPr>
        <w:tc>
          <w:tcPr>
            <w:tcW w:w="3799" w:type="dxa"/>
            <w:tcBorders>
              <w:bottom w:val="single" w:sz="4" w:space="0" w:color="auto"/>
            </w:tcBorders>
            <w:vAlign w:val="center"/>
          </w:tcPr>
          <w:p w14:paraId="10C3F5A0" w14:textId="530BEC83" w:rsidR="006B164D" w:rsidRDefault="006B164D" w:rsidP="006B164D">
            <w:pPr>
              <w:jc w:val="center"/>
            </w:pPr>
            <w:r>
              <w:t>Uso de enmiendas orgánicas: compost, abonos verdes, té de compost, etc.</w:t>
            </w:r>
          </w:p>
        </w:tc>
        <w:tc>
          <w:tcPr>
            <w:tcW w:w="3799" w:type="dxa"/>
            <w:tcBorders>
              <w:bottom w:val="single" w:sz="4" w:space="0" w:color="auto"/>
            </w:tcBorders>
          </w:tcPr>
          <w:p w14:paraId="48B2C5E7" w14:textId="50E7AEC2" w:rsidR="006B164D" w:rsidRDefault="006B164D">
            <w:pPr>
              <w:jc w:val="both"/>
            </w:pPr>
            <w:r>
              <w:rPr>
                <w:color w:val="000000"/>
              </w:rPr>
              <w:t>Contribuye con el aprovechamiento de residuos en la finca</w:t>
            </w:r>
            <w:r w:rsidR="00A74DB3">
              <w:rPr>
                <w:color w:val="000000"/>
              </w:rPr>
              <w:t>.</w:t>
            </w:r>
          </w:p>
        </w:tc>
      </w:tr>
    </w:tbl>
    <w:p w14:paraId="5CAA6E4C" w14:textId="5E076CE6" w:rsidR="00FE0EA2" w:rsidRDefault="006B164D">
      <w:pPr>
        <w:jc w:val="both"/>
      </w:pPr>
      <w:r>
        <w:t xml:space="preserve"> </w:t>
      </w:r>
    </w:p>
    <w:p w14:paraId="78608D4B" w14:textId="42DDF9BF" w:rsidR="006C256D" w:rsidRDefault="006C256D">
      <w:pPr>
        <w:jc w:val="both"/>
        <w:rPr>
          <w:b/>
          <w:i/>
        </w:rPr>
      </w:pPr>
      <w:r>
        <w:rPr>
          <w:b/>
          <w:i/>
        </w:rPr>
        <w:t>Etapa 2</w:t>
      </w:r>
      <w:r w:rsidR="00F148EF">
        <w:rPr>
          <w:b/>
          <w:i/>
        </w:rPr>
        <w:t>: Talleres participativos y evaluación de suelos</w:t>
      </w:r>
    </w:p>
    <w:p w14:paraId="06B50C72" w14:textId="77777777" w:rsidR="00497A51" w:rsidRDefault="00497A51" w:rsidP="00497A51">
      <w:pPr>
        <w:jc w:val="both"/>
      </w:pPr>
      <w:r w:rsidRPr="00497A51">
        <w:t xml:space="preserve">Se realizó una evaluación del suelo en la finca Bellavista utilizando la </w:t>
      </w:r>
      <w:r w:rsidR="00EA73C6">
        <w:t>“H</w:t>
      </w:r>
      <w:r w:rsidR="00EA73C6" w:rsidRPr="00EA73C6">
        <w:t xml:space="preserve">erramienta didáctica para la planificación de fincas </w:t>
      </w:r>
      <w:proofErr w:type="spellStart"/>
      <w:r w:rsidR="00EA73C6" w:rsidRPr="00EA73C6">
        <w:t>resilientes</w:t>
      </w:r>
      <w:proofErr w:type="spellEnd"/>
      <w:r w:rsidR="00EA73C6" w:rsidRPr="00EA73C6">
        <w:t xml:space="preserve">” de Henao et al. (2016). </w:t>
      </w:r>
      <w:r w:rsidRPr="00497A51">
        <w:t xml:space="preserve">El propósito de esta evaluación fue determinar el estado actual del suelo mediante la medición de parámetros físico-químicos en las </w:t>
      </w:r>
      <w:r w:rsidRPr="00497A51">
        <w:lastRenderedPageBreak/>
        <w:t xml:space="preserve">áreas destinadas a la implementación de subsistemas agroecológicos. Los parámetros evaluados incluyeron pH, compactación, infiltración de agua y </w:t>
      </w:r>
      <w:proofErr w:type="spellStart"/>
      <w:r w:rsidRPr="00497A51">
        <w:t>bioestructura</w:t>
      </w:r>
      <w:proofErr w:type="spellEnd"/>
      <w:r w:rsidRPr="00497A51">
        <w:t xml:space="preserve"> del suelo </w:t>
      </w:r>
      <w:r w:rsidR="00EA73C6">
        <w:t>(Tabla 2</w:t>
      </w:r>
      <w:r w:rsidR="005F3A0B">
        <w:t xml:space="preserve"> y 3</w:t>
      </w:r>
      <w:r w:rsidR="00EA73C6">
        <w:t>).</w:t>
      </w:r>
      <w:r w:rsidR="00EE7D8C">
        <w:t xml:space="preserve"> </w:t>
      </w:r>
      <w:r w:rsidRPr="00497A51">
        <w:t>Los resultados, obtenidos a través de métodos rápidos y prácticos para realizar en campo, fueron compartidos con el productor y su familia.</w:t>
      </w:r>
    </w:p>
    <w:p w14:paraId="001893EB" w14:textId="58CB34CA" w:rsidR="005F3A0B" w:rsidRPr="005F3A0B" w:rsidRDefault="005F3A0B" w:rsidP="00497A51">
      <w:pPr>
        <w:jc w:val="both"/>
        <w:rPr>
          <w:i/>
        </w:rPr>
      </w:pPr>
      <w:r>
        <w:rPr>
          <w:i/>
        </w:rPr>
        <w:t>Tabla 2. Parámetros evaluados para la determinación de la calidad del suelo en el área del subsistema HAF.</w:t>
      </w:r>
    </w:p>
    <w:tbl>
      <w:tblPr>
        <w:tblW w:w="7360" w:type="dxa"/>
        <w:jc w:val="center"/>
        <w:tblCellMar>
          <w:left w:w="70" w:type="dxa"/>
          <w:right w:w="70" w:type="dxa"/>
        </w:tblCellMar>
        <w:tblLook w:val="04A0" w:firstRow="1" w:lastRow="0" w:firstColumn="1" w:lastColumn="0" w:noHBand="0" w:noVBand="1"/>
      </w:tblPr>
      <w:tblGrid>
        <w:gridCol w:w="1418"/>
        <w:gridCol w:w="1636"/>
        <w:gridCol w:w="1054"/>
        <w:gridCol w:w="1054"/>
        <w:gridCol w:w="1128"/>
        <w:gridCol w:w="1128"/>
      </w:tblGrid>
      <w:tr w:rsidR="005F3A0B" w:rsidRPr="005F3A0B" w14:paraId="6A698932" w14:textId="77777777" w:rsidTr="005F3A0B">
        <w:trPr>
          <w:trHeight w:val="300"/>
          <w:jc w:val="center"/>
        </w:trPr>
        <w:tc>
          <w:tcPr>
            <w:tcW w:w="1360" w:type="dxa"/>
            <w:vMerge w:val="restart"/>
            <w:tcBorders>
              <w:top w:val="single" w:sz="4" w:space="0" w:color="auto"/>
              <w:left w:val="nil"/>
              <w:bottom w:val="single" w:sz="4" w:space="0" w:color="auto"/>
              <w:right w:val="nil"/>
            </w:tcBorders>
            <w:shd w:val="clear" w:color="auto" w:fill="auto"/>
            <w:noWrap/>
            <w:vAlign w:val="center"/>
            <w:hideMark/>
          </w:tcPr>
          <w:p w14:paraId="7D12E388"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Variable</w:t>
            </w:r>
          </w:p>
        </w:tc>
        <w:tc>
          <w:tcPr>
            <w:tcW w:w="6000" w:type="dxa"/>
            <w:gridSpan w:val="5"/>
            <w:tcBorders>
              <w:top w:val="single" w:sz="4" w:space="0" w:color="auto"/>
              <w:left w:val="nil"/>
              <w:bottom w:val="single" w:sz="4" w:space="0" w:color="auto"/>
            </w:tcBorders>
            <w:shd w:val="clear" w:color="auto" w:fill="auto"/>
            <w:noWrap/>
            <w:vAlign w:val="bottom"/>
            <w:hideMark/>
          </w:tcPr>
          <w:p w14:paraId="58AFC6C6"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Subsistema Huerto Agroecológico Familiar (HAF)</w:t>
            </w:r>
          </w:p>
        </w:tc>
      </w:tr>
      <w:tr w:rsidR="005F3A0B" w:rsidRPr="005F3A0B" w14:paraId="234F0084" w14:textId="77777777" w:rsidTr="005F3A0B">
        <w:trPr>
          <w:trHeight w:val="300"/>
          <w:jc w:val="center"/>
        </w:trPr>
        <w:tc>
          <w:tcPr>
            <w:tcW w:w="1360" w:type="dxa"/>
            <w:vMerge/>
            <w:tcBorders>
              <w:top w:val="single" w:sz="4" w:space="0" w:color="auto"/>
              <w:left w:val="nil"/>
              <w:bottom w:val="single" w:sz="4" w:space="0" w:color="auto"/>
              <w:right w:val="nil"/>
            </w:tcBorders>
            <w:vAlign w:val="center"/>
            <w:hideMark/>
          </w:tcPr>
          <w:p w14:paraId="6DC13940" w14:textId="77777777" w:rsidR="005F3A0B" w:rsidRPr="005F3A0B" w:rsidRDefault="005F3A0B" w:rsidP="005F3A0B">
            <w:pPr>
              <w:spacing w:after="0" w:line="240" w:lineRule="auto"/>
              <w:rPr>
                <w:rFonts w:ascii="Calibri" w:eastAsia="Times New Roman" w:hAnsi="Calibri" w:cs="Times New Roman"/>
                <w:b/>
                <w:bCs/>
                <w:color w:val="000000"/>
                <w:lang w:eastAsia="es-CO"/>
              </w:rPr>
            </w:pPr>
          </w:p>
        </w:tc>
        <w:tc>
          <w:tcPr>
            <w:tcW w:w="6000" w:type="dxa"/>
            <w:gridSpan w:val="5"/>
            <w:tcBorders>
              <w:top w:val="single" w:sz="4" w:space="0" w:color="auto"/>
              <w:left w:val="nil"/>
              <w:bottom w:val="single" w:sz="4" w:space="0" w:color="auto"/>
            </w:tcBorders>
            <w:shd w:val="clear" w:color="auto" w:fill="auto"/>
            <w:noWrap/>
            <w:vAlign w:val="bottom"/>
            <w:hideMark/>
          </w:tcPr>
          <w:p w14:paraId="28BE3048"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Muestra</w:t>
            </w:r>
          </w:p>
        </w:tc>
      </w:tr>
      <w:tr w:rsidR="005F3A0B" w:rsidRPr="005F3A0B" w14:paraId="4132A222" w14:textId="77777777" w:rsidTr="005F3A0B">
        <w:trPr>
          <w:trHeight w:val="300"/>
          <w:jc w:val="center"/>
        </w:trPr>
        <w:tc>
          <w:tcPr>
            <w:tcW w:w="1360" w:type="dxa"/>
            <w:vMerge/>
            <w:tcBorders>
              <w:top w:val="single" w:sz="4" w:space="0" w:color="auto"/>
              <w:left w:val="nil"/>
              <w:bottom w:val="single" w:sz="4" w:space="0" w:color="auto"/>
              <w:right w:val="nil"/>
            </w:tcBorders>
            <w:vAlign w:val="center"/>
            <w:hideMark/>
          </w:tcPr>
          <w:p w14:paraId="28D390EF" w14:textId="77777777" w:rsidR="005F3A0B" w:rsidRPr="005F3A0B" w:rsidRDefault="005F3A0B" w:rsidP="005F3A0B">
            <w:pPr>
              <w:spacing w:after="0" w:line="240" w:lineRule="auto"/>
              <w:rPr>
                <w:rFonts w:ascii="Calibri" w:eastAsia="Times New Roman" w:hAnsi="Calibri" w:cs="Times New Roman"/>
                <w:b/>
                <w:bCs/>
                <w:color w:val="000000"/>
                <w:lang w:eastAsia="es-CO"/>
              </w:rPr>
            </w:pPr>
          </w:p>
        </w:tc>
        <w:tc>
          <w:tcPr>
            <w:tcW w:w="1636" w:type="dxa"/>
            <w:tcBorders>
              <w:top w:val="single" w:sz="4" w:space="0" w:color="auto"/>
              <w:left w:val="nil"/>
              <w:bottom w:val="single" w:sz="4" w:space="0" w:color="auto"/>
              <w:right w:val="nil"/>
            </w:tcBorders>
            <w:shd w:val="clear" w:color="auto" w:fill="auto"/>
            <w:noWrap/>
            <w:vAlign w:val="bottom"/>
            <w:hideMark/>
          </w:tcPr>
          <w:p w14:paraId="576BF784"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1</w:t>
            </w:r>
          </w:p>
        </w:tc>
        <w:tc>
          <w:tcPr>
            <w:tcW w:w="1054" w:type="dxa"/>
            <w:tcBorders>
              <w:top w:val="single" w:sz="4" w:space="0" w:color="auto"/>
              <w:left w:val="nil"/>
              <w:bottom w:val="single" w:sz="4" w:space="0" w:color="auto"/>
              <w:right w:val="nil"/>
            </w:tcBorders>
            <w:shd w:val="clear" w:color="auto" w:fill="auto"/>
            <w:noWrap/>
            <w:vAlign w:val="bottom"/>
            <w:hideMark/>
          </w:tcPr>
          <w:p w14:paraId="640362DC"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2</w:t>
            </w:r>
          </w:p>
        </w:tc>
        <w:tc>
          <w:tcPr>
            <w:tcW w:w="1054" w:type="dxa"/>
            <w:tcBorders>
              <w:top w:val="single" w:sz="4" w:space="0" w:color="auto"/>
              <w:left w:val="nil"/>
              <w:bottom w:val="single" w:sz="4" w:space="0" w:color="auto"/>
              <w:right w:val="nil"/>
            </w:tcBorders>
            <w:shd w:val="clear" w:color="auto" w:fill="auto"/>
            <w:noWrap/>
            <w:vAlign w:val="bottom"/>
            <w:hideMark/>
          </w:tcPr>
          <w:p w14:paraId="70F47EF1"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3</w:t>
            </w:r>
          </w:p>
        </w:tc>
        <w:tc>
          <w:tcPr>
            <w:tcW w:w="1128" w:type="dxa"/>
            <w:tcBorders>
              <w:top w:val="single" w:sz="4" w:space="0" w:color="auto"/>
              <w:left w:val="nil"/>
              <w:bottom w:val="single" w:sz="4" w:space="0" w:color="auto"/>
              <w:right w:val="nil"/>
            </w:tcBorders>
            <w:shd w:val="clear" w:color="auto" w:fill="auto"/>
            <w:noWrap/>
            <w:vAlign w:val="bottom"/>
            <w:hideMark/>
          </w:tcPr>
          <w:p w14:paraId="6EB6C867"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4</w:t>
            </w:r>
          </w:p>
        </w:tc>
        <w:tc>
          <w:tcPr>
            <w:tcW w:w="1128" w:type="dxa"/>
            <w:tcBorders>
              <w:top w:val="single" w:sz="4" w:space="0" w:color="auto"/>
              <w:left w:val="nil"/>
              <w:bottom w:val="single" w:sz="4" w:space="0" w:color="auto"/>
              <w:right w:val="nil"/>
            </w:tcBorders>
            <w:shd w:val="clear" w:color="auto" w:fill="auto"/>
            <w:noWrap/>
            <w:vAlign w:val="bottom"/>
            <w:hideMark/>
          </w:tcPr>
          <w:p w14:paraId="75330423" w14:textId="77777777" w:rsidR="005F3A0B" w:rsidRPr="005F3A0B" w:rsidRDefault="005F3A0B" w:rsidP="005F3A0B">
            <w:pPr>
              <w:spacing w:after="0" w:line="240" w:lineRule="auto"/>
              <w:jc w:val="center"/>
              <w:rPr>
                <w:rFonts w:ascii="Calibri" w:eastAsia="Times New Roman" w:hAnsi="Calibri" w:cs="Times New Roman"/>
                <w:b/>
                <w:bCs/>
                <w:color w:val="000000"/>
                <w:lang w:eastAsia="es-CO"/>
              </w:rPr>
            </w:pPr>
            <w:r w:rsidRPr="005F3A0B">
              <w:rPr>
                <w:rFonts w:ascii="Calibri" w:eastAsia="Times New Roman" w:hAnsi="Calibri" w:cs="Times New Roman"/>
                <w:b/>
                <w:bCs/>
                <w:color w:val="000000"/>
                <w:lang w:eastAsia="es-CO"/>
              </w:rPr>
              <w:t>5</w:t>
            </w:r>
          </w:p>
        </w:tc>
      </w:tr>
      <w:tr w:rsidR="005F3A0B" w:rsidRPr="005F3A0B" w14:paraId="3E2CD110" w14:textId="77777777" w:rsidTr="005F3A0B">
        <w:trPr>
          <w:trHeight w:val="300"/>
          <w:jc w:val="center"/>
        </w:trPr>
        <w:tc>
          <w:tcPr>
            <w:tcW w:w="1360" w:type="dxa"/>
            <w:tcBorders>
              <w:top w:val="nil"/>
              <w:left w:val="nil"/>
              <w:bottom w:val="nil"/>
              <w:right w:val="nil"/>
            </w:tcBorders>
            <w:shd w:val="clear" w:color="auto" w:fill="auto"/>
            <w:noWrap/>
            <w:vAlign w:val="bottom"/>
            <w:hideMark/>
          </w:tcPr>
          <w:p w14:paraId="4E82D016"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pH</w:t>
            </w:r>
          </w:p>
        </w:tc>
        <w:tc>
          <w:tcPr>
            <w:tcW w:w="1636" w:type="dxa"/>
            <w:tcBorders>
              <w:top w:val="nil"/>
              <w:left w:val="nil"/>
              <w:bottom w:val="nil"/>
              <w:right w:val="nil"/>
            </w:tcBorders>
            <w:shd w:val="clear" w:color="auto" w:fill="auto"/>
            <w:noWrap/>
            <w:vAlign w:val="bottom"/>
            <w:hideMark/>
          </w:tcPr>
          <w:p w14:paraId="0B75BEC0"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6,2</w:t>
            </w:r>
          </w:p>
        </w:tc>
        <w:tc>
          <w:tcPr>
            <w:tcW w:w="1054" w:type="dxa"/>
            <w:tcBorders>
              <w:top w:val="nil"/>
              <w:left w:val="nil"/>
              <w:bottom w:val="nil"/>
              <w:right w:val="nil"/>
            </w:tcBorders>
            <w:shd w:val="clear" w:color="auto" w:fill="auto"/>
            <w:noWrap/>
            <w:vAlign w:val="bottom"/>
            <w:hideMark/>
          </w:tcPr>
          <w:p w14:paraId="3F238EA9"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6</w:t>
            </w:r>
          </w:p>
        </w:tc>
        <w:tc>
          <w:tcPr>
            <w:tcW w:w="1054" w:type="dxa"/>
            <w:tcBorders>
              <w:top w:val="nil"/>
              <w:left w:val="nil"/>
              <w:bottom w:val="nil"/>
              <w:right w:val="nil"/>
            </w:tcBorders>
            <w:shd w:val="clear" w:color="auto" w:fill="auto"/>
            <w:noWrap/>
            <w:vAlign w:val="bottom"/>
            <w:hideMark/>
          </w:tcPr>
          <w:p w14:paraId="5224CB1A"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6,7</w:t>
            </w:r>
          </w:p>
        </w:tc>
        <w:tc>
          <w:tcPr>
            <w:tcW w:w="1128" w:type="dxa"/>
            <w:tcBorders>
              <w:top w:val="nil"/>
              <w:left w:val="nil"/>
              <w:bottom w:val="nil"/>
              <w:right w:val="nil"/>
            </w:tcBorders>
            <w:shd w:val="clear" w:color="auto" w:fill="auto"/>
            <w:noWrap/>
            <w:vAlign w:val="bottom"/>
            <w:hideMark/>
          </w:tcPr>
          <w:p w14:paraId="689078E3"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6,4</w:t>
            </w:r>
          </w:p>
        </w:tc>
        <w:tc>
          <w:tcPr>
            <w:tcW w:w="1128" w:type="dxa"/>
            <w:tcBorders>
              <w:top w:val="nil"/>
              <w:left w:val="nil"/>
              <w:bottom w:val="nil"/>
              <w:right w:val="nil"/>
            </w:tcBorders>
            <w:shd w:val="clear" w:color="auto" w:fill="auto"/>
            <w:noWrap/>
            <w:vAlign w:val="bottom"/>
            <w:hideMark/>
          </w:tcPr>
          <w:p w14:paraId="097A9182"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6,3</w:t>
            </w:r>
          </w:p>
        </w:tc>
      </w:tr>
      <w:tr w:rsidR="004D31B7" w:rsidRPr="005F3A0B" w14:paraId="40F1146B" w14:textId="77777777" w:rsidTr="005F3A0B">
        <w:trPr>
          <w:trHeight w:val="300"/>
          <w:jc w:val="center"/>
        </w:trPr>
        <w:tc>
          <w:tcPr>
            <w:tcW w:w="1360" w:type="dxa"/>
            <w:tcBorders>
              <w:top w:val="nil"/>
              <w:left w:val="nil"/>
              <w:bottom w:val="nil"/>
              <w:right w:val="nil"/>
            </w:tcBorders>
            <w:shd w:val="clear" w:color="auto" w:fill="auto"/>
            <w:noWrap/>
            <w:vAlign w:val="bottom"/>
          </w:tcPr>
          <w:p w14:paraId="428798E1" w14:textId="1552C358"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Compactación</w:t>
            </w:r>
          </w:p>
        </w:tc>
        <w:tc>
          <w:tcPr>
            <w:tcW w:w="1636" w:type="dxa"/>
            <w:tcBorders>
              <w:top w:val="nil"/>
              <w:left w:val="nil"/>
              <w:bottom w:val="nil"/>
              <w:right w:val="nil"/>
            </w:tcBorders>
            <w:shd w:val="clear" w:color="auto" w:fill="auto"/>
            <w:noWrap/>
            <w:vAlign w:val="bottom"/>
          </w:tcPr>
          <w:p w14:paraId="6700C78D" w14:textId="20297917"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10</w:t>
            </w:r>
          </w:p>
        </w:tc>
        <w:tc>
          <w:tcPr>
            <w:tcW w:w="1054" w:type="dxa"/>
            <w:tcBorders>
              <w:top w:val="nil"/>
              <w:left w:val="nil"/>
              <w:bottom w:val="nil"/>
              <w:right w:val="nil"/>
            </w:tcBorders>
            <w:shd w:val="clear" w:color="auto" w:fill="auto"/>
            <w:noWrap/>
            <w:vAlign w:val="bottom"/>
          </w:tcPr>
          <w:p w14:paraId="23F467EE" w14:textId="72171A61"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5</w:t>
            </w:r>
          </w:p>
        </w:tc>
        <w:tc>
          <w:tcPr>
            <w:tcW w:w="1054" w:type="dxa"/>
            <w:tcBorders>
              <w:top w:val="nil"/>
              <w:left w:val="nil"/>
              <w:bottom w:val="nil"/>
              <w:right w:val="nil"/>
            </w:tcBorders>
            <w:shd w:val="clear" w:color="auto" w:fill="auto"/>
            <w:noWrap/>
            <w:vAlign w:val="bottom"/>
          </w:tcPr>
          <w:p w14:paraId="7243EB07" w14:textId="110C63C5"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23</w:t>
            </w:r>
          </w:p>
        </w:tc>
        <w:tc>
          <w:tcPr>
            <w:tcW w:w="1128" w:type="dxa"/>
            <w:tcBorders>
              <w:top w:val="nil"/>
              <w:left w:val="nil"/>
              <w:bottom w:val="nil"/>
              <w:right w:val="nil"/>
            </w:tcBorders>
            <w:shd w:val="clear" w:color="auto" w:fill="auto"/>
            <w:noWrap/>
            <w:vAlign w:val="bottom"/>
          </w:tcPr>
          <w:p w14:paraId="329C5604" w14:textId="235C489F"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c>
          <w:tcPr>
            <w:tcW w:w="1128" w:type="dxa"/>
            <w:tcBorders>
              <w:top w:val="nil"/>
              <w:left w:val="nil"/>
              <w:bottom w:val="nil"/>
              <w:right w:val="nil"/>
            </w:tcBorders>
            <w:shd w:val="clear" w:color="auto" w:fill="auto"/>
            <w:noWrap/>
            <w:vAlign w:val="bottom"/>
          </w:tcPr>
          <w:p w14:paraId="329CB5A4" w14:textId="021B10A7" w:rsidR="004D31B7" w:rsidRPr="005F3A0B" w:rsidRDefault="004D31B7" w:rsidP="005F3A0B">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14</w:t>
            </w:r>
          </w:p>
        </w:tc>
      </w:tr>
      <w:tr w:rsidR="005F3A0B" w:rsidRPr="005F3A0B" w14:paraId="56B8D417" w14:textId="77777777" w:rsidTr="005F3A0B">
        <w:trPr>
          <w:trHeight w:val="300"/>
          <w:jc w:val="center"/>
        </w:trPr>
        <w:tc>
          <w:tcPr>
            <w:tcW w:w="1360" w:type="dxa"/>
            <w:tcBorders>
              <w:top w:val="nil"/>
              <w:left w:val="nil"/>
              <w:bottom w:val="single" w:sz="4" w:space="0" w:color="auto"/>
              <w:right w:val="nil"/>
            </w:tcBorders>
            <w:shd w:val="clear" w:color="auto" w:fill="auto"/>
            <w:noWrap/>
            <w:vAlign w:val="bottom"/>
            <w:hideMark/>
          </w:tcPr>
          <w:p w14:paraId="585D2C6D"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proofErr w:type="spellStart"/>
            <w:r w:rsidRPr="005F3A0B">
              <w:rPr>
                <w:rFonts w:ascii="Calibri" w:eastAsia="Times New Roman" w:hAnsi="Calibri" w:cs="Times New Roman"/>
                <w:color w:val="000000"/>
                <w:lang w:eastAsia="es-CO"/>
              </w:rPr>
              <w:t>Bioestructura</w:t>
            </w:r>
            <w:proofErr w:type="spellEnd"/>
          </w:p>
        </w:tc>
        <w:tc>
          <w:tcPr>
            <w:tcW w:w="1636" w:type="dxa"/>
            <w:tcBorders>
              <w:top w:val="nil"/>
              <w:left w:val="nil"/>
              <w:bottom w:val="single" w:sz="4" w:space="0" w:color="auto"/>
              <w:right w:val="nil"/>
            </w:tcBorders>
            <w:shd w:val="clear" w:color="auto" w:fill="auto"/>
            <w:noWrap/>
            <w:vAlign w:val="bottom"/>
            <w:hideMark/>
          </w:tcPr>
          <w:p w14:paraId="097E34BB"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Media</w:t>
            </w:r>
          </w:p>
        </w:tc>
        <w:tc>
          <w:tcPr>
            <w:tcW w:w="1054" w:type="dxa"/>
            <w:tcBorders>
              <w:top w:val="nil"/>
              <w:left w:val="nil"/>
              <w:bottom w:val="single" w:sz="4" w:space="0" w:color="auto"/>
              <w:right w:val="nil"/>
            </w:tcBorders>
            <w:shd w:val="clear" w:color="auto" w:fill="auto"/>
            <w:noWrap/>
            <w:vAlign w:val="bottom"/>
            <w:hideMark/>
          </w:tcPr>
          <w:p w14:paraId="49B9A953"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Alta</w:t>
            </w:r>
          </w:p>
        </w:tc>
        <w:tc>
          <w:tcPr>
            <w:tcW w:w="1054" w:type="dxa"/>
            <w:tcBorders>
              <w:top w:val="nil"/>
              <w:left w:val="nil"/>
              <w:bottom w:val="single" w:sz="4" w:space="0" w:color="auto"/>
              <w:right w:val="nil"/>
            </w:tcBorders>
            <w:shd w:val="clear" w:color="auto" w:fill="auto"/>
            <w:noWrap/>
            <w:vAlign w:val="bottom"/>
            <w:hideMark/>
          </w:tcPr>
          <w:p w14:paraId="72A1A240"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Alta</w:t>
            </w:r>
          </w:p>
        </w:tc>
        <w:tc>
          <w:tcPr>
            <w:tcW w:w="1128" w:type="dxa"/>
            <w:tcBorders>
              <w:top w:val="nil"/>
              <w:left w:val="nil"/>
              <w:bottom w:val="single" w:sz="4" w:space="0" w:color="auto"/>
              <w:right w:val="nil"/>
            </w:tcBorders>
            <w:shd w:val="clear" w:color="auto" w:fill="auto"/>
            <w:noWrap/>
            <w:vAlign w:val="bottom"/>
            <w:hideMark/>
          </w:tcPr>
          <w:p w14:paraId="3DDA6DEE"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Baja</w:t>
            </w:r>
          </w:p>
        </w:tc>
        <w:tc>
          <w:tcPr>
            <w:tcW w:w="1128" w:type="dxa"/>
            <w:tcBorders>
              <w:top w:val="nil"/>
              <w:left w:val="nil"/>
              <w:bottom w:val="single" w:sz="4" w:space="0" w:color="auto"/>
              <w:right w:val="nil"/>
            </w:tcBorders>
            <w:shd w:val="clear" w:color="auto" w:fill="auto"/>
            <w:noWrap/>
            <w:vAlign w:val="bottom"/>
            <w:hideMark/>
          </w:tcPr>
          <w:p w14:paraId="7FB826E3" w14:textId="77777777" w:rsidR="005F3A0B" w:rsidRPr="005F3A0B" w:rsidRDefault="005F3A0B" w:rsidP="005F3A0B">
            <w:pPr>
              <w:spacing w:after="0" w:line="240" w:lineRule="auto"/>
              <w:jc w:val="center"/>
              <w:rPr>
                <w:rFonts w:ascii="Calibri" w:eastAsia="Times New Roman" w:hAnsi="Calibri" w:cs="Times New Roman"/>
                <w:color w:val="000000"/>
                <w:lang w:eastAsia="es-CO"/>
              </w:rPr>
            </w:pPr>
            <w:r w:rsidRPr="005F3A0B">
              <w:rPr>
                <w:rFonts w:ascii="Calibri" w:eastAsia="Times New Roman" w:hAnsi="Calibri" w:cs="Times New Roman"/>
                <w:color w:val="000000"/>
                <w:lang w:eastAsia="es-CO"/>
              </w:rPr>
              <w:t>Baja</w:t>
            </w:r>
          </w:p>
        </w:tc>
      </w:tr>
    </w:tbl>
    <w:p w14:paraId="62BBF6A7" w14:textId="1B770F75" w:rsidR="00EA73C6" w:rsidRDefault="00EA73C6" w:rsidP="00EA73C6">
      <w:pPr>
        <w:jc w:val="both"/>
      </w:pPr>
    </w:p>
    <w:p w14:paraId="07414F3B" w14:textId="52DA330A" w:rsidR="002A09B6" w:rsidRPr="006B1D49" w:rsidRDefault="006B1D49" w:rsidP="006B1D49">
      <w:pPr>
        <w:jc w:val="center"/>
        <w:rPr>
          <w:i/>
        </w:rPr>
      </w:pPr>
      <w:r>
        <w:rPr>
          <w:i/>
        </w:rPr>
        <w:t>Tabla 3. Parámetros evaluados para la determinación de la calidad del suelo en el área del SAF.</w:t>
      </w:r>
    </w:p>
    <w:tbl>
      <w:tblPr>
        <w:tblW w:w="7360" w:type="dxa"/>
        <w:jc w:val="center"/>
        <w:tblCellMar>
          <w:left w:w="70" w:type="dxa"/>
          <w:right w:w="70" w:type="dxa"/>
        </w:tblCellMar>
        <w:tblLook w:val="04A0" w:firstRow="1" w:lastRow="0" w:firstColumn="1" w:lastColumn="0" w:noHBand="0" w:noVBand="1"/>
      </w:tblPr>
      <w:tblGrid>
        <w:gridCol w:w="1360"/>
        <w:gridCol w:w="1605"/>
        <w:gridCol w:w="1074"/>
        <w:gridCol w:w="1819"/>
        <w:gridCol w:w="751"/>
        <w:gridCol w:w="751"/>
      </w:tblGrid>
      <w:tr w:rsidR="006B1D49" w:rsidRPr="006B1D49" w14:paraId="65B1F170" w14:textId="77777777" w:rsidTr="006B1D49">
        <w:trPr>
          <w:trHeight w:val="300"/>
          <w:jc w:val="center"/>
        </w:trPr>
        <w:tc>
          <w:tcPr>
            <w:tcW w:w="1360" w:type="dxa"/>
            <w:vMerge w:val="restart"/>
            <w:tcBorders>
              <w:top w:val="single" w:sz="4" w:space="0" w:color="auto"/>
              <w:left w:val="nil"/>
              <w:bottom w:val="single" w:sz="4" w:space="0" w:color="auto"/>
              <w:right w:val="nil"/>
            </w:tcBorders>
            <w:shd w:val="clear" w:color="auto" w:fill="auto"/>
            <w:noWrap/>
            <w:vAlign w:val="center"/>
            <w:hideMark/>
          </w:tcPr>
          <w:p w14:paraId="2894FAFE"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Variable</w:t>
            </w:r>
          </w:p>
        </w:tc>
        <w:tc>
          <w:tcPr>
            <w:tcW w:w="6000" w:type="dxa"/>
            <w:gridSpan w:val="5"/>
            <w:tcBorders>
              <w:top w:val="single" w:sz="4" w:space="0" w:color="auto"/>
              <w:left w:val="nil"/>
              <w:bottom w:val="single" w:sz="4" w:space="0" w:color="auto"/>
            </w:tcBorders>
            <w:shd w:val="clear" w:color="auto" w:fill="auto"/>
            <w:noWrap/>
            <w:vAlign w:val="center"/>
            <w:hideMark/>
          </w:tcPr>
          <w:p w14:paraId="766D99CB"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Subsistema Agroforestal (SAF)</w:t>
            </w:r>
          </w:p>
        </w:tc>
      </w:tr>
      <w:tr w:rsidR="006B1D49" w:rsidRPr="006B1D49" w14:paraId="64F93E86" w14:textId="77777777" w:rsidTr="006B1D49">
        <w:trPr>
          <w:trHeight w:val="300"/>
          <w:jc w:val="center"/>
        </w:trPr>
        <w:tc>
          <w:tcPr>
            <w:tcW w:w="1360" w:type="dxa"/>
            <w:vMerge/>
            <w:tcBorders>
              <w:top w:val="single" w:sz="4" w:space="0" w:color="auto"/>
              <w:left w:val="nil"/>
              <w:bottom w:val="single" w:sz="4" w:space="0" w:color="auto"/>
              <w:right w:val="nil"/>
            </w:tcBorders>
            <w:vAlign w:val="center"/>
            <w:hideMark/>
          </w:tcPr>
          <w:p w14:paraId="768836B7" w14:textId="77777777" w:rsidR="006B1D49" w:rsidRPr="006B1D49" w:rsidRDefault="006B1D49" w:rsidP="006B1D49">
            <w:pPr>
              <w:spacing w:after="0" w:line="240" w:lineRule="auto"/>
              <w:rPr>
                <w:rFonts w:ascii="Calibri" w:eastAsia="Times New Roman" w:hAnsi="Calibri" w:cs="Times New Roman"/>
                <w:b/>
                <w:bCs/>
                <w:color w:val="000000"/>
                <w:lang w:eastAsia="es-CO"/>
              </w:rPr>
            </w:pPr>
          </w:p>
        </w:tc>
        <w:tc>
          <w:tcPr>
            <w:tcW w:w="6000" w:type="dxa"/>
            <w:gridSpan w:val="5"/>
            <w:tcBorders>
              <w:top w:val="single" w:sz="4" w:space="0" w:color="auto"/>
              <w:left w:val="nil"/>
              <w:bottom w:val="single" w:sz="4" w:space="0" w:color="auto"/>
            </w:tcBorders>
            <w:shd w:val="clear" w:color="auto" w:fill="auto"/>
            <w:noWrap/>
            <w:vAlign w:val="center"/>
            <w:hideMark/>
          </w:tcPr>
          <w:p w14:paraId="62A8134C"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Muestra</w:t>
            </w:r>
          </w:p>
        </w:tc>
      </w:tr>
      <w:tr w:rsidR="006B1D49" w:rsidRPr="006B1D49" w14:paraId="326EB915" w14:textId="77777777" w:rsidTr="006B1D49">
        <w:trPr>
          <w:trHeight w:val="300"/>
          <w:jc w:val="center"/>
        </w:trPr>
        <w:tc>
          <w:tcPr>
            <w:tcW w:w="1360" w:type="dxa"/>
            <w:vMerge/>
            <w:tcBorders>
              <w:top w:val="single" w:sz="4" w:space="0" w:color="auto"/>
              <w:left w:val="nil"/>
              <w:bottom w:val="single" w:sz="4" w:space="0" w:color="auto"/>
              <w:right w:val="nil"/>
            </w:tcBorders>
            <w:vAlign w:val="center"/>
            <w:hideMark/>
          </w:tcPr>
          <w:p w14:paraId="48E07472" w14:textId="77777777" w:rsidR="006B1D49" w:rsidRPr="006B1D49" w:rsidRDefault="006B1D49" w:rsidP="006B1D49">
            <w:pPr>
              <w:spacing w:after="0" w:line="240" w:lineRule="auto"/>
              <w:rPr>
                <w:rFonts w:ascii="Calibri" w:eastAsia="Times New Roman" w:hAnsi="Calibri" w:cs="Times New Roman"/>
                <w:b/>
                <w:bCs/>
                <w:color w:val="000000"/>
                <w:lang w:eastAsia="es-CO"/>
              </w:rPr>
            </w:pPr>
          </w:p>
        </w:tc>
        <w:tc>
          <w:tcPr>
            <w:tcW w:w="1605" w:type="dxa"/>
            <w:tcBorders>
              <w:top w:val="single" w:sz="4" w:space="0" w:color="auto"/>
              <w:left w:val="nil"/>
              <w:bottom w:val="single" w:sz="4" w:space="0" w:color="auto"/>
              <w:right w:val="nil"/>
            </w:tcBorders>
            <w:shd w:val="clear" w:color="auto" w:fill="auto"/>
            <w:noWrap/>
            <w:vAlign w:val="center"/>
            <w:hideMark/>
          </w:tcPr>
          <w:p w14:paraId="65E0041E"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1</w:t>
            </w:r>
          </w:p>
        </w:tc>
        <w:tc>
          <w:tcPr>
            <w:tcW w:w="1074" w:type="dxa"/>
            <w:tcBorders>
              <w:top w:val="single" w:sz="4" w:space="0" w:color="auto"/>
              <w:left w:val="nil"/>
              <w:bottom w:val="single" w:sz="4" w:space="0" w:color="auto"/>
              <w:right w:val="nil"/>
            </w:tcBorders>
            <w:shd w:val="clear" w:color="auto" w:fill="auto"/>
            <w:noWrap/>
            <w:vAlign w:val="center"/>
            <w:hideMark/>
          </w:tcPr>
          <w:p w14:paraId="5E0AD068"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2</w:t>
            </w:r>
          </w:p>
        </w:tc>
        <w:tc>
          <w:tcPr>
            <w:tcW w:w="1819" w:type="dxa"/>
            <w:tcBorders>
              <w:top w:val="single" w:sz="4" w:space="0" w:color="auto"/>
              <w:left w:val="nil"/>
              <w:bottom w:val="single" w:sz="4" w:space="0" w:color="auto"/>
              <w:right w:val="nil"/>
            </w:tcBorders>
            <w:shd w:val="clear" w:color="auto" w:fill="auto"/>
            <w:noWrap/>
            <w:vAlign w:val="center"/>
            <w:hideMark/>
          </w:tcPr>
          <w:p w14:paraId="5FEA19FE"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3</w:t>
            </w:r>
          </w:p>
        </w:tc>
        <w:tc>
          <w:tcPr>
            <w:tcW w:w="751" w:type="dxa"/>
            <w:tcBorders>
              <w:top w:val="single" w:sz="4" w:space="0" w:color="auto"/>
              <w:left w:val="nil"/>
              <w:bottom w:val="single" w:sz="4" w:space="0" w:color="auto"/>
              <w:right w:val="nil"/>
            </w:tcBorders>
            <w:shd w:val="clear" w:color="auto" w:fill="auto"/>
            <w:noWrap/>
            <w:vAlign w:val="center"/>
            <w:hideMark/>
          </w:tcPr>
          <w:p w14:paraId="32F41AE9"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4</w:t>
            </w:r>
          </w:p>
        </w:tc>
        <w:tc>
          <w:tcPr>
            <w:tcW w:w="751" w:type="dxa"/>
            <w:tcBorders>
              <w:top w:val="single" w:sz="4" w:space="0" w:color="auto"/>
              <w:left w:val="nil"/>
              <w:bottom w:val="single" w:sz="4" w:space="0" w:color="auto"/>
              <w:right w:val="nil"/>
            </w:tcBorders>
            <w:shd w:val="clear" w:color="auto" w:fill="auto"/>
            <w:noWrap/>
            <w:vAlign w:val="center"/>
            <w:hideMark/>
          </w:tcPr>
          <w:p w14:paraId="59B93D3A" w14:textId="77777777" w:rsidR="006B1D49" w:rsidRPr="006B1D49" w:rsidRDefault="006B1D49" w:rsidP="006B1D49">
            <w:pPr>
              <w:spacing w:after="0" w:line="240" w:lineRule="auto"/>
              <w:jc w:val="center"/>
              <w:rPr>
                <w:rFonts w:ascii="Calibri" w:eastAsia="Times New Roman" w:hAnsi="Calibri" w:cs="Times New Roman"/>
                <w:b/>
                <w:bCs/>
                <w:color w:val="000000"/>
                <w:lang w:eastAsia="es-CO"/>
              </w:rPr>
            </w:pPr>
            <w:r w:rsidRPr="006B1D49">
              <w:rPr>
                <w:rFonts w:ascii="Calibri" w:eastAsia="Times New Roman" w:hAnsi="Calibri" w:cs="Times New Roman"/>
                <w:b/>
                <w:bCs/>
                <w:color w:val="000000"/>
                <w:lang w:eastAsia="es-CO"/>
              </w:rPr>
              <w:t>5</w:t>
            </w:r>
          </w:p>
        </w:tc>
      </w:tr>
      <w:tr w:rsidR="006B1D49" w:rsidRPr="006B1D49" w14:paraId="27437237" w14:textId="77777777" w:rsidTr="006B1D49">
        <w:trPr>
          <w:trHeight w:val="300"/>
          <w:jc w:val="center"/>
        </w:trPr>
        <w:tc>
          <w:tcPr>
            <w:tcW w:w="1360" w:type="dxa"/>
            <w:tcBorders>
              <w:top w:val="nil"/>
              <w:left w:val="nil"/>
              <w:bottom w:val="nil"/>
              <w:right w:val="nil"/>
            </w:tcBorders>
            <w:shd w:val="clear" w:color="auto" w:fill="auto"/>
            <w:noWrap/>
            <w:vAlign w:val="center"/>
            <w:hideMark/>
          </w:tcPr>
          <w:p w14:paraId="5CBF1A64"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pH</w:t>
            </w:r>
          </w:p>
        </w:tc>
        <w:tc>
          <w:tcPr>
            <w:tcW w:w="1605" w:type="dxa"/>
            <w:tcBorders>
              <w:top w:val="nil"/>
              <w:left w:val="nil"/>
              <w:bottom w:val="nil"/>
              <w:right w:val="nil"/>
            </w:tcBorders>
            <w:shd w:val="clear" w:color="auto" w:fill="auto"/>
            <w:noWrap/>
            <w:vAlign w:val="center"/>
            <w:hideMark/>
          </w:tcPr>
          <w:p w14:paraId="2A645E46"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8</w:t>
            </w:r>
          </w:p>
        </w:tc>
        <w:tc>
          <w:tcPr>
            <w:tcW w:w="1074" w:type="dxa"/>
            <w:tcBorders>
              <w:top w:val="nil"/>
              <w:left w:val="nil"/>
              <w:bottom w:val="nil"/>
              <w:right w:val="nil"/>
            </w:tcBorders>
            <w:shd w:val="clear" w:color="auto" w:fill="auto"/>
            <w:noWrap/>
            <w:vAlign w:val="center"/>
            <w:hideMark/>
          </w:tcPr>
          <w:p w14:paraId="67816524"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7,7</w:t>
            </w:r>
          </w:p>
        </w:tc>
        <w:tc>
          <w:tcPr>
            <w:tcW w:w="1819" w:type="dxa"/>
            <w:tcBorders>
              <w:top w:val="nil"/>
              <w:left w:val="nil"/>
              <w:bottom w:val="nil"/>
              <w:right w:val="nil"/>
            </w:tcBorders>
            <w:shd w:val="clear" w:color="auto" w:fill="auto"/>
            <w:noWrap/>
            <w:vAlign w:val="center"/>
            <w:hideMark/>
          </w:tcPr>
          <w:p w14:paraId="6A11FB61"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7,7</w:t>
            </w:r>
          </w:p>
        </w:tc>
        <w:tc>
          <w:tcPr>
            <w:tcW w:w="751" w:type="dxa"/>
            <w:tcBorders>
              <w:top w:val="nil"/>
              <w:left w:val="nil"/>
              <w:bottom w:val="nil"/>
              <w:right w:val="nil"/>
            </w:tcBorders>
            <w:shd w:val="clear" w:color="auto" w:fill="auto"/>
            <w:noWrap/>
            <w:vAlign w:val="center"/>
            <w:hideMark/>
          </w:tcPr>
          <w:p w14:paraId="4EE5A841"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7,6</w:t>
            </w:r>
          </w:p>
        </w:tc>
        <w:tc>
          <w:tcPr>
            <w:tcW w:w="751" w:type="dxa"/>
            <w:tcBorders>
              <w:top w:val="nil"/>
              <w:left w:val="nil"/>
              <w:bottom w:val="nil"/>
              <w:right w:val="nil"/>
            </w:tcBorders>
            <w:shd w:val="clear" w:color="auto" w:fill="auto"/>
            <w:noWrap/>
            <w:vAlign w:val="center"/>
            <w:hideMark/>
          </w:tcPr>
          <w:p w14:paraId="5B74B4A8"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7</w:t>
            </w:r>
          </w:p>
        </w:tc>
      </w:tr>
      <w:tr w:rsidR="006B1D49" w:rsidRPr="006B1D49" w14:paraId="42F2F52A" w14:textId="77777777" w:rsidTr="006B1D49">
        <w:trPr>
          <w:trHeight w:val="300"/>
          <w:jc w:val="center"/>
        </w:trPr>
        <w:tc>
          <w:tcPr>
            <w:tcW w:w="1360" w:type="dxa"/>
            <w:tcBorders>
              <w:top w:val="nil"/>
              <w:left w:val="nil"/>
              <w:bottom w:val="nil"/>
              <w:right w:val="nil"/>
            </w:tcBorders>
            <w:shd w:val="clear" w:color="auto" w:fill="auto"/>
            <w:noWrap/>
            <w:vAlign w:val="center"/>
            <w:hideMark/>
          </w:tcPr>
          <w:p w14:paraId="61817202"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proofErr w:type="spellStart"/>
            <w:r w:rsidRPr="006B1D49">
              <w:rPr>
                <w:rFonts w:ascii="Calibri" w:eastAsia="Times New Roman" w:hAnsi="Calibri" w:cs="Times New Roman"/>
                <w:color w:val="000000"/>
                <w:lang w:eastAsia="es-CO"/>
              </w:rPr>
              <w:t>Compatación</w:t>
            </w:r>
            <w:proofErr w:type="spellEnd"/>
          </w:p>
        </w:tc>
        <w:tc>
          <w:tcPr>
            <w:tcW w:w="1605" w:type="dxa"/>
            <w:tcBorders>
              <w:top w:val="nil"/>
              <w:left w:val="nil"/>
              <w:bottom w:val="nil"/>
              <w:right w:val="nil"/>
            </w:tcBorders>
            <w:shd w:val="clear" w:color="auto" w:fill="auto"/>
            <w:noWrap/>
            <w:vAlign w:val="center"/>
            <w:hideMark/>
          </w:tcPr>
          <w:p w14:paraId="3DFFA240"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w:t>
            </w:r>
          </w:p>
        </w:tc>
        <w:tc>
          <w:tcPr>
            <w:tcW w:w="1074" w:type="dxa"/>
            <w:tcBorders>
              <w:top w:val="nil"/>
              <w:left w:val="nil"/>
              <w:bottom w:val="nil"/>
              <w:right w:val="nil"/>
            </w:tcBorders>
            <w:shd w:val="clear" w:color="auto" w:fill="auto"/>
            <w:noWrap/>
            <w:vAlign w:val="center"/>
            <w:hideMark/>
          </w:tcPr>
          <w:p w14:paraId="13003DD4"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1,9</w:t>
            </w:r>
          </w:p>
        </w:tc>
        <w:tc>
          <w:tcPr>
            <w:tcW w:w="1819" w:type="dxa"/>
            <w:tcBorders>
              <w:top w:val="nil"/>
              <w:left w:val="nil"/>
              <w:bottom w:val="nil"/>
              <w:right w:val="nil"/>
            </w:tcBorders>
            <w:shd w:val="clear" w:color="auto" w:fill="auto"/>
            <w:noWrap/>
            <w:vAlign w:val="center"/>
            <w:hideMark/>
          </w:tcPr>
          <w:p w14:paraId="0B50B9EC"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1,2</w:t>
            </w:r>
          </w:p>
        </w:tc>
        <w:tc>
          <w:tcPr>
            <w:tcW w:w="751" w:type="dxa"/>
            <w:tcBorders>
              <w:top w:val="nil"/>
              <w:left w:val="nil"/>
              <w:bottom w:val="nil"/>
              <w:right w:val="nil"/>
            </w:tcBorders>
            <w:shd w:val="clear" w:color="auto" w:fill="auto"/>
            <w:noWrap/>
            <w:vAlign w:val="center"/>
            <w:hideMark/>
          </w:tcPr>
          <w:p w14:paraId="32F94649"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1,5</w:t>
            </w:r>
          </w:p>
        </w:tc>
        <w:tc>
          <w:tcPr>
            <w:tcW w:w="751" w:type="dxa"/>
            <w:tcBorders>
              <w:top w:val="nil"/>
              <w:left w:val="nil"/>
              <w:bottom w:val="nil"/>
              <w:right w:val="nil"/>
            </w:tcBorders>
            <w:shd w:val="clear" w:color="auto" w:fill="auto"/>
            <w:noWrap/>
            <w:vAlign w:val="center"/>
            <w:hideMark/>
          </w:tcPr>
          <w:p w14:paraId="200A3729"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1,2</w:t>
            </w:r>
          </w:p>
        </w:tc>
      </w:tr>
      <w:tr w:rsidR="006B1D49" w:rsidRPr="006B1D49" w14:paraId="5248C2CA" w14:textId="77777777" w:rsidTr="006B1D49">
        <w:trPr>
          <w:trHeight w:val="300"/>
          <w:jc w:val="center"/>
        </w:trPr>
        <w:tc>
          <w:tcPr>
            <w:tcW w:w="1360" w:type="dxa"/>
            <w:tcBorders>
              <w:top w:val="nil"/>
              <w:left w:val="nil"/>
              <w:bottom w:val="single" w:sz="4" w:space="0" w:color="auto"/>
              <w:right w:val="nil"/>
            </w:tcBorders>
            <w:shd w:val="clear" w:color="auto" w:fill="auto"/>
            <w:noWrap/>
            <w:vAlign w:val="center"/>
            <w:hideMark/>
          </w:tcPr>
          <w:p w14:paraId="7DB41ADB"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Infiltración</w:t>
            </w:r>
          </w:p>
        </w:tc>
        <w:tc>
          <w:tcPr>
            <w:tcW w:w="1605" w:type="dxa"/>
            <w:tcBorders>
              <w:top w:val="nil"/>
              <w:left w:val="nil"/>
              <w:bottom w:val="single" w:sz="4" w:space="0" w:color="auto"/>
              <w:right w:val="nil"/>
            </w:tcBorders>
            <w:shd w:val="clear" w:color="auto" w:fill="auto"/>
            <w:noWrap/>
            <w:vAlign w:val="center"/>
            <w:hideMark/>
          </w:tcPr>
          <w:p w14:paraId="01773228"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1 min 2 s</w:t>
            </w:r>
          </w:p>
        </w:tc>
        <w:tc>
          <w:tcPr>
            <w:tcW w:w="1074" w:type="dxa"/>
            <w:tcBorders>
              <w:top w:val="nil"/>
              <w:left w:val="nil"/>
              <w:bottom w:val="single" w:sz="4" w:space="0" w:color="auto"/>
              <w:right w:val="nil"/>
            </w:tcBorders>
            <w:shd w:val="clear" w:color="auto" w:fill="auto"/>
            <w:noWrap/>
            <w:vAlign w:val="center"/>
            <w:hideMark/>
          </w:tcPr>
          <w:p w14:paraId="54CBDFE7"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49,3 s</w:t>
            </w:r>
          </w:p>
        </w:tc>
        <w:tc>
          <w:tcPr>
            <w:tcW w:w="1819" w:type="dxa"/>
            <w:tcBorders>
              <w:top w:val="nil"/>
              <w:left w:val="nil"/>
              <w:bottom w:val="single" w:sz="4" w:space="0" w:color="auto"/>
              <w:right w:val="nil"/>
            </w:tcBorders>
            <w:shd w:val="clear" w:color="auto" w:fill="auto"/>
            <w:noWrap/>
            <w:vAlign w:val="center"/>
            <w:hideMark/>
          </w:tcPr>
          <w:p w14:paraId="2C5983AD"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5 min 23 s</w:t>
            </w:r>
          </w:p>
        </w:tc>
        <w:tc>
          <w:tcPr>
            <w:tcW w:w="751" w:type="dxa"/>
            <w:tcBorders>
              <w:top w:val="nil"/>
              <w:left w:val="nil"/>
              <w:bottom w:val="single" w:sz="4" w:space="0" w:color="auto"/>
              <w:right w:val="nil"/>
            </w:tcBorders>
            <w:shd w:val="clear" w:color="auto" w:fill="auto"/>
            <w:noWrap/>
            <w:vAlign w:val="center"/>
            <w:hideMark/>
          </w:tcPr>
          <w:p w14:paraId="011D523A"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44 s</w:t>
            </w:r>
          </w:p>
        </w:tc>
        <w:tc>
          <w:tcPr>
            <w:tcW w:w="751" w:type="dxa"/>
            <w:tcBorders>
              <w:top w:val="nil"/>
              <w:left w:val="nil"/>
              <w:bottom w:val="single" w:sz="4" w:space="0" w:color="auto"/>
              <w:right w:val="nil"/>
            </w:tcBorders>
            <w:shd w:val="clear" w:color="auto" w:fill="auto"/>
            <w:noWrap/>
            <w:vAlign w:val="center"/>
            <w:hideMark/>
          </w:tcPr>
          <w:p w14:paraId="5CE82E65" w14:textId="77777777" w:rsidR="006B1D49" w:rsidRPr="006B1D49" w:rsidRDefault="006B1D49" w:rsidP="006B1D49">
            <w:pPr>
              <w:spacing w:after="0" w:line="240" w:lineRule="auto"/>
              <w:jc w:val="center"/>
              <w:rPr>
                <w:rFonts w:ascii="Calibri" w:eastAsia="Times New Roman" w:hAnsi="Calibri" w:cs="Times New Roman"/>
                <w:color w:val="000000"/>
                <w:lang w:eastAsia="es-CO"/>
              </w:rPr>
            </w:pPr>
            <w:r w:rsidRPr="006B1D49">
              <w:rPr>
                <w:rFonts w:ascii="Calibri" w:eastAsia="Times New Roman" w:hAnsi="Calibri" w:cs="Times New Roman"/>
                <w:color w:val="000000"/>
                <w:lang w:eastAsia="es-CO"/>
              </w:rPr>
              <w:t>57 s</w:t>
            </w:r>
          </w:p>
        </w:tc>
      </w:tr>
    </w:tbl>
    <w:p w14:paraId="2B8083B6" w14:textId="2921F58D" w:rsidR="006B1D49" w:rsidRDefault="006B1D49">
      <w:pPr>
        <w:jc w:val="both"/>
        <w:rPr>
          <w:b/>
          <w:i/>
        </w:rPr>
      </w:pPr>
    </w:p>
    <w:p w14:paraId="16D5D939" w14:textId="17228768" w:rsidR="001A29C2" w:rsidRDefault="001A29C2">
      <w:pPr>
        <w:jc w:val="both"/>
      </w:pPr>
      <w:r>
        <w:t xml:space="preserve">Mientras tanto, los </w:t>
      </w:r>
      <w:r w:rsidRPr="001A29C2">
        <w:t>resultados de la aplicación de indicadores de calidad del suelo y salud del cultivo</w:t>
      </w:r>
      <w:r>
        <w:t xml:space="preserve"> </w:t>
      </w:r>
      <w:r w:rsidRPr="001A29C2">
        <w:t>(taller 1) se muestran en las siguientes tablas:</w:t>
      </w:r>
    </w:p>
    <w:p w14:paraId="22B156F5" w14:textId="389F6995" w:rsidR="001A29C2" w:rsidRPr="00007BE0" w:rsidRDefault="001A29C2" w:rsidP="001A29C2">
      <w:pPr>
        <w:jc w:val="center"/>
        <w:rPr>
          <w:i/>
        </w:rPr>
      </w:pPr>
      <w:r w:rsidRPr="00007BE0">
        <w:rPr>
          <w:i/>
        </w:rPr>
        <w:t>Tabla 4. Valores de los indicadores de calidad del suelo evaluados en la finca Bellavista, mayo de 2024.</w:t>
      </w:r>
    </w:p>
    <w:tbl>
      <w:tblPr>
        <w:tblW w:w="6663" w:type="dxa"/>
        <w:jc w:val="center"/>
        <w:tblCellMar>
          <w:left w:w="70" w:type="dxa"/>
          <w:right w:w="70" w:type="dxa"/>
        </w:tblCellMar>
        <w:tblLook w:val="04A0" w:firstRow="1" w:lastRow="0" w:firstColumn="1" w:lastColumn="0" w:noHBand="0" w:noVBand="1"/>
      </w:tblPr>
      <w:tblGrid>
        <w:gridCol w:w="2835"/>
        <w:gridCol w:w="567"/>
        <w:gridCol w:w="426"/>
        <w:gridCol w:w="567"/>
        <w:gridCol w:w="425"/>
        <w:gridCol w:w="567"/>
        <w:gridCol w:w="1276"/>
      </w:tblGrid>
      <w:tr w:rsidR="00007BE0" w:rsidRPr="00007BE0" w14:paraId="5E42AEF3" w14:textId="77777777" w:rsidTr="00007BE0">
        <w:trPr>
          <w:trHeight w:val="239"/>
          <w:jc w:val="center"/>
        </w:trPr>
        <w:tc>
          <w:tcPr>
            <w:tcW w:w="2835" w:type="dxa"/>
            <w:vMerge w:val="restart"/>
            <w:tcBorders>
              <w:top w:val="single" w:sz="4" w:space="0" w:color="auto"/>
              <w:left w:val="nil"/>
              <w:bottom w:val="single" w:sz="4" w:space="0" w:color="000000"/>
              <w:right w:val="nil"/>
            </w:tcBorders>
            <w:shd w:val="clear" w:color="auto" w:fill="auto"/>
            <w:noWrap/>
            <w:vAlign w:val="center"/>
            <w:hideMark/>
          </w:tcPr>
          <w:p w14:paraId="42B67B1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Variable</w:t>
            </w:r>
          </w:p>
        </w:tc>
        <w:tc>
          <w:tcPr>
            <w:tcW w:w="2552" w:type="dxa"/>
            <w:gridSpan w:val="5"/>
            <w:tcBorders>
              <w:top w:val="single" w:sz="4" w:space="0" w:color="auto"/>
              <w:left w:val="nil"/>
              <w:bottom w:val="single" w:sz="4" w:space="0" w:color="auto"/>
              <w:right w:val="nil"/>
            </w:tcBorders>
            <w:shd w:val="clear" w:color="auto" w:fill="auto"/>
            <w:noWrap/>
            <w:vAlign w:val="center"/>
            <w:hideMark/>
          </w:tcPr>
          <w:p w14:paraId="6D9CCE1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Lote</w:t>
            </w:r>
          </w:p>
        </w:tc>
        <w:tc>
          <w:tcPr>
            <w:tcW w:w="1276" w:type="dxa"/>
            <w:vMerge w:val="restart"/>
            <w:tcBorders>
              <w:top w:val="single" w:sz="4" w:space="0" w:color="auto"/>
              <w:left w:val="nil"/>
              <w:bottom w:val="single" w:sz="4" w:space="0" w:color="000000"/>
              <w:right w:val="nil"/>
            </w:tcBorders>
            <w:shd w:val="clear" w:color="auto" w:fill="auto"/>
            <w:noWrap/>
            <w:vAlign w:val="center"/>
            <w:hideMark/>
          </w:tcPr>
          <w:p w14:paraId="339B0CB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Promedio</w:t>
            </w:r>
          </w:p>
        </w:tc>
      </w:tr>
      <w:tr w:rsidR="00007BE0" w:rsidRPr="00007BE0" w14:paraId="09677AA7" w14:textId="77777777" w:rsidTr="00007BE0">
        <w:trPr>
          <w:trHeight w:val="239"/>
          <w:jc w:val="center"/>
        </w:trPr>
        <w:tc>
          <w:tcPr>
            <w:tcW w:w="2835" w:type="dxa"/>
            <w:vMerge/>
            <w:tcBorders>
              <w:top w:val="nil"/>
              <w:left w:val="nil"/>
              <w:bottom w:val="single" w:sz="4" w:space="0" w:color="000000"/>
              <w:right w:val="nil"/>
            </w:tcBorders>
            <w:vAlign w:val="center"/>
            <w:hideMark/>
          </w:tcPr>
          <w:p w14:paraId="3F3E9983" w14:textId="77777777" w:rsidR="00007BE0" w:rsidRPr="00007BE0" w:rsidRDefault="00007BE0" w:rsidP="00007BE0">
            <w:pPr>
              <w:spacing w:after="0" w:line="240" w:lineRule="auto"/>
              <w:rPr>
                <w:rFonts w:ascii="Calibri" w:eastAsia="Times New Roman" w:hAnsi="Calibri" w:cs="Times New Roman"/>
                <w:color w:val="000000"/>
                <w:lang w:eastAsia="es-CO"/>
              </w:rPr>
            </w:pPr>
          </w:p>
        </w:tc>
        <w:tc>
          <w:tcPr>
            <w:tcW w:w="567" w:type="dxa"/>
            <w:tcBorders>
              <w:top w:val="nil"/>
              <w:left w:val="nil"/>
              <w:bottom w:val="single" w:sz="4" w:space="0" w:color="auto"/>
              <w:right w:val="nil"/>
            </w:tcBorders>
            <w:shd w:val="clear" w:color="auto" w:fill="auto"/>
            <w:noWrap/>
            <w:vAlign w:val="center"/>
            <w:hideMark/>
          </w:tcPr>
          <w:p w14:paraId="5F940C62"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426" w:type="dxa"/>
            <w:tcBorders>
              <w:top w:val="nil"/>
              <w:left w:val="nil"/>
              <w:bottom w:val="single" w:sz="4" w:space="0" w:color="auto"/>
              <w:right w:val="nil"/>
            </w:tcBorders>
            <w:shd w:val="clear" w:color="auto" w:fill="auto"/>
            <w:noWrap/>
            <w:vAlign w:val="center"/>
            <w:hideMark/>
          </w:tcPr>
          <w:p w14:paraId="4DABE49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2</w:t>
            </w:r>
          </w:p>
        </w:tc>
        <w:tc>
          <w:tcPr>
            <w:tcW w:w="567" w:type="dxa"/>
            <w:tcBorders>
              <w:top w:val="nil"/>
              <w:left w:val="nil"/>
              <w:bottom w:val="single" w:sz="4" w:space="0" w:color="auto"/>
              <w:right w:val="nil"/>
            </w:tcBorders>
            <w:shd w:val="clear" w:color="auto" w:fill="auto"/>
            <w:noWrap/>
            <w:vAlign w:val="center"/>
            <w:hideMark/>
          </w:tcPr>
          <w:p w14:paraId="566E532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3</w:t>
            </w:r>
          </w:p>
        </w:tc>
        <w:tc>
          <w:tcPr>
            <w:tcW w:w="425" w:type="dxa"/>
            <w:tcBorders>
              <w:top w:val="nil"/>
              <w:left w:val="nil"/>
              <w:bottom w:val="single" w:sz="4" w:space="0" w:color="auto"/>
              <w:right w:val="nil"/>
            </w:tcBorders>
            <w:shd w:val="clear" w:color="auto" w:fill="auto"/>
            <w:noWrap/>
            <w:vAlign w:val="center"/>
            <w:hideMark/>
          </w:tcPr>
          <w:p w14:paraId="617892CC"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567" w:type="dxa"/>
            <w:tcBorders>
              <w:top w:val="nil"/>
              <w:left w:val="nil"/>
              <w:bottom w:val="single" w:sz="4" w:space="0" w:color="auto"/>
              <w:right w:val="nil"/>
            </w:tcBorders>
            <w:shd w:val="clear" w:color="auto" w:fill="auto"/>
            <w:noWrap/>
            <w:vAlign w:val="center"/>
            <w:hideMark/>
          </w:tcPr>
          <w:p w14:paraId="69A48C93"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1276" w:type="dxa"/>
            <w:vMerge/>
            <w:tcBorders>
              <w:top w:val="single" w:sz="4" w:space="0" w:color="auto"/>
              <w:left w:val="nil"/>
              <w:bottom w:val="single" w:sz="4" w:space="0" w:color="000000"/>
              <w:right w:val="nil"/>
            </w:tcBorders>
            <w:vAlign w:val="center"/>
            <w:hideMark/>
          </w:tcPr>
          <w:p w14:paraId="68B1D5E4" w14:textId="77777777" w:rsidR="00007BE0" w:rsidRPr="00007BE0" w:rsidRDefault="00007BE0" w:rsidP="00007BE0">
            <w:pPr>
              <w:spacing w:after="0" w:line="240" w:lineRule="auto"/>
              <w:rPr>
                <w:rFonts w:ascii="Calibri" w:eastAsia="Times New Roman" w:hAnsi="Calibri" w:cs="Times New Roman"/>
                <w:color w:val="000000"/>
                <w:lang w:eastAsia="es-CO"/>
              </w:rPr>
            </w:pPr>
          </w:p>
        </w:tc>
      </w:tr>
      <w:tr w:rsidR="00007BE0" w:rsidRPr="00007BE0" w14:paraId="48E8545C" w14:textId="77777777" w:rsidTr="00007BE0">
        <w:trPr>
          <w:trHeight w:val="239"/>
          <w:jc w:val="center"/>
        </w:trPr>
        <w:tc>
          <w:tcPr>
            <w:tcW w:w="2835" w:type="dxa"/>
            <w:tcBorders>
              <w:top w:val="nil"/>
              <w:left w:val="nil"/>
              <w:bottom w:val="nil"/>
              <w:right w:val="nil"/>
            </w:tcBorders>
            <w:shd w:val="clear" w:color="auto" w:fill="auto"/>
            <w:noWrap/>
            <w:vAlign w:val="center"/>
            <w:hideMark/>
          </w:tcPr>
          <w:p w14:paraId="61D8FE94"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proofErr w:type="spellStart"/>
            <w:r w:rsidRPr="00007BE0">
              <w:rPr>
                <w:rFonts w:ascii="Calibri" w:eastAsia="Times New Roman" w:hAnsi="Calibri" w:cs="Times New Roman"/>
                <w:color w:val="000000"/>
                <w:lang w:eastAsia="es-CO"/>
              </w:rPr>
              <w:t>Compactacion</w:t>
            </w:r>
            <w:proofErr w:type="spellEnd"/>
            <w:r w:rsidRPr="00007BE0">
              <w:rPr>
                <w:rFonts w:ascii="Calibri" w:eastAsia="Times New Roman" w:hAnsi="Calibri" w:cs="Times New Roman"/>
                <w:color w:val="000000"/>
                <w:lang w:eastAsia="es-CO"/>
              </w:rPr>
              <w:t xml:space="preserve"> e infiltración</w:t>
            </w:r>
          </w:p>
        </w:tc>
        <w:tc>
          <w:tcPr>
            <w:tcW w:w="567" w:type="dxa"/>
            <w:tcBorders>
              <w:top w:val="nil"/>
              <w:left w:val="nil"/>
              <w:bottom w:val="nil"/>
              <w:right w:val="nil"/>
            </w:tcBorders>
            <w:shd w:val="clear" w:color="auto" w:fill="auto"/>
            <w:noWrap/>
            <w:vAlign w:val="center"/>
            <w:hideMark/>
          </w:tcPr>
          <w:p w14:paraId="5CAB708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c>
          <w:tcPr>
            <w:tcW w:w="426" w:type="dxa"/>
            <w:tcBorders>
              <w:top w:val="nil"/>
              <w:left w:val="nil"/>
              <w:bottom w:val="nil"/>
              <w:right w:val="nil"/>
            </w:tcBorders>
            <w:shd w:val="clear" w:color="auto" w:fill="auto"/>
            <w:noWrap/>
            <w:vAlign w:val="center"/>
            <w:hideMark/>
          </w:tcPr>
          <w:p w14:paraId="380888B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c>
          <w:tcPr>
            <w:tcW w:w="567" w:type="dxa"/>
            <w:tcBorders>
              <w:top w:val="nil"/>
              <w:left w:val="nil"/>
              <w:bottom w:val="nil"/>
              <w:right w:val="nil"/>
            </w:tcBorders>
            <w:shd w:val="clear" w:color="auto" w:fill="auto"/>
            <w:noWrap/>
            <w:vAlign w:val="center"/>
            <w:hideMark/>
          </w:tcPr>
          <w:p w14:paraId="3A71AB9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425" w:type="dxa"/>
            <w:tcBorders>
              <w:top w:val="nil"/>
              <w:left w:val="nil"/>
              <w:bottom w:val="nil"/>
              <w:right w:val="nil"/>
            </w:tcBorders>
            <w:shd w:val="clear" w:color="auto" w:fill="auto"/>
            <w:noWrap/>
            <w:vAlign w:val="center"/>
            <w:hideMark/>
          </w:tcPr>
          <w:p w14:paraId="35D1D61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4E10113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1276" w:type="dxa"/>
            <w:tcBorders>
              <w:top w:val="nil"/>
              <w:left w:val="nil"/>
              <w:bottom w:val="nil"/>
              <w:right w:val="nil"/>
            </w:tcBorders>
            <w:shd w:val="clear" w:color="auto" w:fill="auto"/>
            <w:noWrap/>
            <w:vAlign w:val="center"/>
            <w:hideMark/>
          </w:tcPr>
          <w:p w14:paraId="59706BE7" w14:textId="511A67D2" w:rsidR="00007BE0" w:rsidRPr="00007BE0" w:rsidRDefault="00007BE0" w:rsidP="00007BE0">
            <w:pPr>
              <w:spacing w:after="0" w:line="240" w:lineRule="auto"/>
              <w:jc w:val="center"/>
              <w:rPr>
                <w:rFonts w:ascii="Calibri" w:eastAsia="Times New Roman" w:hAnsi="Calibri" w:cs="Times New Roman"/>
                <w:color w:val="000000"/>
                <w:lang w:eastAsia="es-CO"/>
              </w:rPr>
            </w:pPr>
            <w:r>
              <w:rPr>
                <w:rFonts w:ascii="Calibri" w:eastAsia="Times New Roman" w:hAnsi="Calibri" w:cs="Times New Roman"/>
                <w:color w:val="000000"/>
                <w:lang w:eastAsia="es-CO"/>
              </w:rPr>
              <w:t>7</w:t>
            </w:r>
          </w:p>
        </w:tc>
      </w:tr>
      <w:tr w:rsidR="00007BE0" w:rsidRPr="00007BE0" w14:paraId="707E9B1A" w14:textId="77777777" w:rsidTr="00007BE0">
        <w:trPr>
          <w:trHeight w:val="239"/>
          <w:jc w:val="center"/>
        </w:trPr>
        <w:tc>
          <w:tcPr>
            <w:tcW w:w="2835" w:type="dxa"/>
            <w:tcBorders>
              <w:top w:val="nil"/>
              <w:left w:val="nil"/>
              <w:bottom w:val="nil"/>
              <w:right w:val="nil"/>
            </w:tcBorders>
            <w:shd w:val="clear" w:color="auto" w:fill="auto"/>
            <w:noWrap/>
            <w:vAlign w:val="center"/>
            <w:hideMark/>
          </w:tcPr>
          <w:p w14:paraId="13F9264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proofErr w:type="spellStart"/>
            <w:r w:rsidRPr="00007BE0">
              <w:rPr>
                <w:rFonts w:ascii="Calibri" w:eastAsia="Times New Roman" w:hAnsi="Calibri" w:cs="Times New Roman"/>
                <w:color w:val="000000"/>
                <w:lang w:eastAsia="es-CO"/>
              </w:rPr>
              <w:t>Produndidad</w:t>
            </w:r>
            <w:proofErr w:type="spellEnd"/>
            <w:r w:rsidRPr="00007BE0">
              <w:rPr>
                <w:rFonts w:ascii="Calibri" w:eastAsia="Times New Roman" w:hAnsi="Calibri" w:cs="Times New Roman"/>
                <w:color w:val="000000"/>
                <w:lang w:eastAsia="es-CO"/>
              </w:rPr>
              <w:t xml:space="preserve"> del suelo</w:t>
            </w:r>
          </w:p>
        </w:tc>
        <w:tc>
          <w:tcPr>
            <w:tcW w:w="567" w:type="dxa"/>
            <w:tcBorders>
              <w:top w:val="nil"/>
              <w:left w:val="nil"/>
              <w:bottom w:val="nil"/>
              <w:right w:val="nil"/>
            </w:tcBorders>
            <w:shd w:val="clear" w:color="auto" w:fill="auto"/>
            <w:noWrap/>
            <w:vAlign w:val="center"/>
            <w:hideMark/>
          </w:tcPr>
          <w:p w14:paraId="583EA8B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6" w:type="dxa"/>
            <w:tcBorders>
              <w:top w:val="nil"/>
              <w:left w:val="nil"/>
              <w:bottom w:val="nil"/>
              <w:right w:val="nil"/>
            </w:tcBorders>
            <w:shd w:val="clear" w:color="auto" w:fill="auto"/>
            <w:noWrap/>
            <w:vAlign w:val="center"/>
            <w:hideMark/>
          </w:tcPr>
          <w:p w14:paraId="76DA76E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9</w:t>
            </w:r>
          </w:p>
        </w:tc>
        <w:tc>
          <w:tcPr>
            <w:tcW w:w="567" w:type="dxa"/>
            <w:tcBorders>
              <w:top w:val="nil"/>
              <w:left w:val="nil"/>
              <w:bottom w:val="nil"/>
              <w:right w:val="nil"/>
            </w:tcBorders>
            <w:shd w:val="clear" w:color="auto" w:fill="auto"/>
            <w:noWrap/>
            <w:vAlign w:val="center"/>
            <w:hideMark/>
          </w:tcPr>
          <w:p w14:paraId="3610454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5" w:type="dxa"/>
            <w:tcBorders>
              <w:top w:val="nil"/>
              <w:left w:val="nil"/>
              <w:bottom w:val="nil"/>
              <w:right w:val="nil"/>
            </w:tcBorders>
            <w:shd w:val="clear" w:color="auto" w:fill="auto"/>
            <w:noWrap/>
            <w:vAlign w:val="center"/>
            <w:hideMark/>
          </w:tcPr>
          <w:p w14:paraId="293E61A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5935FC1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8</w:t>
            </w:r>
          </w:p>
        </w:tc>
        <w:tc>
          <w:tcPr>
            <w:tcW w:w="1276" w:type="dxa"/>
            <w:tcBorders>
              <w:top w:val="nil"/>
              <w:left w:val="nil"/>
              <w:bottom w:val="nil"/>
              <w:right w:val="nil"/>
            </w:tcBorders>
            <w:shd w:val="clear" w:color="auto" w:fill="auto"/>
            <w:noWrap/>
            <w:vAlign w:val="center"/>
            <w:hideMark/>
          </w:tcPr>
          <w:p w14:paraId="0715F5A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9</w:t>
            </w:r>
          </w:p>
        </w:tc>
      </w:tr>
      <w:tr w:rsidR="00007BE0" w:rsidRPr="00007BE0" w14:paraId="3D9D808F" w14:textId="77777777" w:rsidTr="00007BE0">
        <w:trPr>
          <w:trHeight w:val="239"/>
          <w:jc w:val="center"/>
        </w:trPr>
        <w:tc>
          <w:tcPr>
            <w:tcW w:w="2835" w:type="dxa"/>
            <w:tcBorders>
              <w:top w:val="nil"/>
              <w:left w:val="nil"/>
              <w:bottom w:val="nil"/>
              <w:right w:val="nil"/>
            </w:tcBorders>
            <w:shd w:val="clear" w:color="auto" w:fill="auto"/>
            <w:noWrap/>
            <w:vAlign w:val="center"/>
            <w:hideMark/>
          </w:tcPr>
          <w:p w14:paraId="4411298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Estado de residuos</w:t>
            </w:r>
          </w:p>
        </w:tc>
        <w:tc>
          <w:tcPr>
            <w:tcW w:w="567" w:type="dxa"/>
            <w:tcBorders>
              <w:top w:val="nil"/>
              <w:left w:val="nil"/>
              <w:bottom w:val="nil"/>
              <w:right w:val="nil"/>
            </w:tcBorders>
            <w:shd w:val="clear" w:color="auto" w:fill="auto"/>
            <w:noWrap/>
            <w:vAlign w:val="center"/>
            <w:hideMark/>
          </w:tcPr>
          <w:p w14:paraId="6174293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8</w:t>
            </w:r>
          </w:p>
        </w:tc>
        <w:tc>
          <w:tcPr>
            <w:tcW w:w="426" w:type="dxa"/>
            <w:tcBorders>
              <w:top w:val="nil"/>
              <w:left w:val="nil"/>
              <w:bottom w:val="nil"/>
              <w:right w:val="nil"/>
            </w:tcBorders>
            <w:shd w:val="clear" w:color="auto" w:fill="auto"/>
            <w:noWrap/>
            <w:vAlign w:val="center"/>
            <w:hideMark/>
          </w:tcPr>
          <w:p w14:paraId="405D1943"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8</w:t>
            </w:r>
          </w:p>
        </w:tc>
        <w:tc>
          <w:tcPr>
            <w:tcW w:w="567" w:type="dxa"/>
            <w:tcBorders>
              <w:top w:val="nil"/>
              <w:left w:val="nil"/>
              <w:bottom w:val="nil"/>
              <w:right w:val="nil"/>
            </w:tcBorders>
            <w:shd w:val="clear" w:color="auto" w:fill="auto"/>
            <w:noWrap/>
            <w:vAlign w:val="center"/>
            <w:hideMark/>
          </w:tcPr>
          <w:p w14:paraId="4E9EFEB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9</w:t>
            </w:r>
          </w:p>
        </w:tc>
        <w:tc>
          <w:tcPr>
            <w:tcW w:w="425" w:type="dxa"/>
            <w:tcBorders>
              <w:top w:val="nil"/>
              <w:left w:val="nil"/>
              <w:bottom w:val="nil"/>
              <w:right w:val="nil"/>
            </w:tcBorders>
            <w:shd w:val="clear" w:color="auto" w:fill="auto"/>
            <w:noWrap/>
            <w:vAlign w:val="center"/>
            <w:hideMark/>
          </w:tcPr>
          <w:p w14:paraId="449EE1D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567" w:type="dxa"/>
            <w:tcBorders>
              <w:top w:val="nil"/>
              <w:left w:val="nil"/>
              <w:bottom w:val="nil"/>
              <w:right w:val="nil"/>
            </w:tcBorders>
            <w:shd w:val="clear" w:color="auto" w:fill="auto"/>
            <w:noWrap/>
            <w:vAlign w:val="center"/>
            <w:hideMark/>
          </w:tcPr>
          <w:p w14:paraId="1E49C3E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1276" w:type="dxa"/>
            <w:tcBorders>
              <w:top w:val="nil"/>
              <w:left w:val="nil"/>
              <w:bottom w:val="nil"/>
              <w:right w:val="nil"/>
            </w:tcBorders>
            <w:shd w:val="clear" w:color="auto" w:fill="auto"/>
            <w:noWrap/>
            <w:vAlign w:val="center"/>
            <w:hideMark/>
          </w:tcPr>
          <w:p w14:paraId="0EED3882"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r>
      <w:tr w:rsidR="00007BE0" w:rsidRPr="00007BE0" w14:paraId="6A96C034" w14:textId="77777777" w:rsidTr="00007BE0">
        <w:trPr>
          <w:trHeight w:val="239"/>
          <w:jc w:val="center"/>
        </w:trPr>
        <w:tc>
          <w:tcPr>
            <w:tcW w:w="2835" w:type="dxa"/>
            <w:tcBorders>
              <w:top w:val="nil"/>
              <w:left w:val="nil"/>
              <w:bottom w:val="nil"/>
              <w:right w:val="nil"/>
            </w:tcBorders>
            <w:shd w:val="clear" w:color="auto" w:fill="auto"/>
            <w:noWrap/>
            <w:vAlign w:val="center"/>
            <w:hideMark/>
          </w:tcPr>
          <w:p w14:paraId="5E59C3A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Desarrollo de raíces</w:t>
            </w:r>
          </w:p>
        </w:tc>
        <w:tc>
          <w:tcPr>
            <w:tcW w:w="567" w:type="dxa"/>
            <w:tcBorders>
              <w:top w:val="nil"/>
              <w:left w:val="nil"/>
              <w:bottom w:val="nil"/>
              <w:right w:val="nil"/>
            </w:tcBorders>
            <w:shd w:val="clear" w:color="auto" w:fill="auto"/>
            <w:noWrap/>
            <w:vAlign w:val="center"/>
            <w:hideMark/>
          </w:tcPr>
          <w:p w14:paraId="34B4492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426" w:type="dxa"/>
            <w:tcBorders>
              <w:top w:val="nil"/>
              <w:left w:val="nil"/>
              <w:bottom w:val="nil"/>
              <w:right w:val="nil"/>
            </w:tcBorders>
            <w:shd w:val="clear" w:color="auto" w:fill="auto"/>
            <w:noWrap/>
            <w:vAlign w:val="center"/>
            <w:hideMark/>
          </w:tcPr>
          <w:p w14:paraId="0367CC7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567" w:type="dxa"/>
            <w:tcBorders>
              <w:top w:val="nil"/>
              <w:left w:val="nil"/>
              <w:bottom w:val="nil"/>
              <w:right w:val="nil"/>
            </w:tcBorders>
            <w:shd w:val="clear" w:color="auto" w:fill="auto"/>
            <w:noWrap/>
            <w:vAlign w:val="center"/>
            <w:hideMark/>
          </w:tcPr>
          <w:p w14:paraId="401CB76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c>
          <w:tcPr>
            <w:tcW w:w="425" w:type="dxa"/>
            <w:tcBorders>
              <w:top w:val="nil"/>
              <w:left w:val="nil"/>
              <w:bottom w:val="nil"/>
              <w:right w:val="nil"/>
            </w:tcBorders>
            <w:shd w:val="clear" w:color="auto" w:fill="auto"/>
            <w:noWrap/>
            <w:vAlign w:val="center"/>
            <w:hideMark/>
          </w:tcPr>
          <w:p w14:paraId="28B46B52"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567" w:type="dxa"/>
            <w:tcBorders>
              <w:top w:val="nil"/>
              <w:left w:val="nil"/>
              <w:bottom w:val="nil"/>
              <w:right w:val="nil"/>
            </w:tcBorders>
            <w:shd w:val="clear" w:color="auto" w:fill="auto"/>
            <w:noWrap/>
            <w:vAlign w:val="center"/>
            <w:hideMark/>
          </w:tcPr>
          <w:p w14:paraId="2C85E32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1276" w:type="dxa"/>
            <w:tcBorders>
              <w:top w:val="nil"/>
              <w:left w:val="nil"/>
              <w:bottom w:val="nil"/>
              <w:right w:val="nil"/>
            </w:tcBorders>
            <w:shd w:val="clear" w:color="auto" w:fill="auto"/>
            <w:noWrap/>
            <w:vAlign w:val="center"/>
            <w:hideMark/>
          </w:tcPr>
          <w:p w14:paraId="2768627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r>
      <w:tr w:rsidR="00007BE0" w:rsidRPr="00007BE0" w14:paraId="2A732B72" w14:textId="77777777" w:rsidTr="00007BE0">
        <w:trPr>
          <w:trHeight w:val="239"/>
          <w:jc w:val="center"/>
        </w:trPr>
        <w:tc>
          <w:tcPr>
            <w:tcW w:w="2835" w:type="dxa"/>
            <w:tcBorders>
              <w:top w:val="nil"/>
              <w:left w:val="nil"/>
              <w:bottom w:val="nil"/>
              <w:right w:val="nil"/>
            </w:tcBorders>
            <w:shd w:val="clear" w:color="auto" w:fill="auto"/>
            <w:noWrap/>
            <w:vAlign w:val="center"/>
            <w:hideMark/>
          </w:tcPr>
          <w:p w14:paraId="34587B9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Cobertura del suelo</w:t>
            </w:r>
          </w:p>
        </w:tc>
        <w:tc>
          <w:tcPr>
            <w:tcW w:w="567" w:type="dxa"/>
            <w:tcBorders>
              <w:top w:val="nil"/>
              <w:left w:val="nil"/>
              <w:bottom w:val="nil"/>
              <w:right w:val="nil"/>
            </w:tcBorders>
            <w:shd w:val="clear" w:color="auto" w:fill="auto"/>
            <w:noWrap/>
            <w:vAlign w:val="center"/>
            <w:hideMark/>
          </w:tcPr>
          <w:p w14:paraId="4189E42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426" w:type="dxa"/>
            <w:tcBorders>
              <w:top w:val="nil"/>
              <w:left w:val="nil"/>
              <w:bottom w:val="nil"/>
              <w:right w:val="nil"/>
            </w:tcBorders>
            <w:shd w:val="clear" w:color="auto" w:fill="auto"/>
            <w:noWrap/>
            <w:vAlign w:val="center"/>
            <w:hideMark/>
          </w:tcPr>
          <w:p w14:paraId="6202DB5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567" w:type="dxa"/>
            <w:tcBorders>
              <w:top w:val="nil"/>
              <w:left w:val="nil"/>
              <w:bottom w:val="nil"/>
              <w:right w:val="nil"/>
            </w:tcBorders>
            <w:shd w:val="clear" w:color="auto" w:fill="auto"/>
            <w:noWrap/>
            <w:vAlign w:val="center"/>
            <w:hideMark/>
          </w:tcPr>
          <w:p w14:paraId="22A5D91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c>
          <w:tcPr>
            <w:tcW w:w="425" w:type="dxa"/>
            <w:tcBorders>
              <w:top w:val="nil"/>
              <w:left w:val="nil"/>
              <w:bottom w:val="nil"/>
              <w:right w:val="nil"/>
            </w:tcBorders>
            <w:shd w:val="clear" w:color="auto" w:fill="auto"/>
            <w:noWrap/>
            <w:vAlign w:val="center"/>
            <w:hideMark/>
          </w:tcPr>
          <w:p w14:paraId="4F865FE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567" w:type="dxa"/>
            <w:tcBorders>
              <w:top w:val="nil"/>
              <w:left w:val="nil"/>
              <w:bottom w:val="nil"/>
              <w:right w:val="nil"/>
            </w:tcBorders>
            <w:shd w:val="clear" w:color="auto" w:fill="auto"/>
            <w:noWrap/>
            <w:vAlign w:val="center"/>
            <w:hideMark/>
          </w:tcPr>
          <w:p w14:paraId="711A409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3</w:t>
            </w:r>
          </w:p>
        </w:tc>
        <w:tc>
          <w:tcPr>
            <w:tcW w:w="1276" w:type="dxa"/>
            <w:tcBorders>
              <w:top w:val="nil"/>
              <w:left w:val="nil"/>
              <w:bottom w:val="nil"/>
              <w:right w:val="nil"/>
            </w:tcBorders>
            <w:shd w:val="clear" w:color="auto" w:fill="auto"/>
            <w:noWrap/>
            <w:vAlign w:val="center"/>
            <w:hideMark/>
          </w:tcPr>
          <w:p w14:paraId="172CBD9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r>
      <w:tr w:rsidR="00007BE0" w:rsidRPr="00007BE0" w14:paraId="657D2FAB" w14:textId="77777777" w:rsidTr="00007BE0">
        <w:trPr>
          <w:trHeight w:val="239"/>
          <w:jc w:val="center"/>
        </w:trPr>
        <w:tc>
          <w:tcPr>
            <w:tcW w:w="2835" w:type="dxa"/>
            <w:tcBorders>
              <w:top w:val="nil"/>
              <w:left w:val="nil"/>
              <w:bottom w:val="single" w:sz="4" w:space="0" w:color="auto"/>
              <w:right w:val="nil"/>
            </w:tcBorders>
            <w:shd w:val="clear" w:color="auto" w:fill="auto"/>
            <w:noWrap/>
            <w:vAlign w:val="center"/>
            <w:hideMark/>
          </w:tcPr>
          <w:p w14:paraId="1F566E1C"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proofErr w:type="spellStart"/>
            <w:r w:rsidRPr="00007BE0">
              <w:rPr>
                <w:rFonts w:ascii="Calibri" w:eastAsia="Times New Roman" w:hAnsi="Calibri" w:cs="Times New Roman"/>
                <w:color w:val="000000"/>
                <w:lang w:eastAsia="es-CO"/>
              </w:rPr>
              <w:t>Bioestructura</w:t>
            </w:r>
            <w:proofErr w:type="spellEnd"/>
          </w:p>
        </w:tc>
        <w:tc>
          <w:tcPr>
            <w:tcW w:w="567" w:type="dxa"/>
            <w:tcBorders>
              <w:top w:val="nil"/>
              <w:left w:val="nil"/>
              <w:bottom w:val="single" w:sz="4" w:space="0" w:color="auto"/>
              <w:right w:val="nil"/>
            </w:tcBorders>
            <w:shd w:val="clear" w:color="auto" w:fill="auto"/>
            <w:noWrap/>
            <w:vAlign w:val="center"/>
            <w:hideMark/>
          </w:tcPr>
          <w:p w14:paraId="51CAFCC4"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6" w:type="dxa"/>
            <w:tcBorders>
              <w:top w:val="nil"/>
              <w:left w:val="nil"/>
              <w:bottom w:val="single" w:sz="4" w:space="0" w:color="auto"/>
              <w:right w:val="nil"/>
            </w:tcBorders>
            <w:shd w:val="clear" w:color="auto" w:fill="auto"/>
            <w:noWrap/>
            <w:vAlign w:val="center"/>
            <w:hideMark/>
          </w:tcPr>
          <w:p w14:paraId="734FC7D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single" w:sz="4" w:space="0" w:color="auto"/>
              <w:right w:val="nil"/>
            </w:tcBorders>
            <w:shd w:val="clear" w:color="auto" w:fill="auto"/>
            <w:noWrap/>
            <w:vAlign w:val="center"/>
            <w:hideMark/>
          </w:tcPr>
          <w:p w14:paraId="56B163E2"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5" w:type="dxa"/>
            <w:tcBorders>
              <w:top w:val="nil"/>
              <w:left w:val="nil"/>
              <w:bottom w:val="single" w:sz="4" w:space="0" w:color="auto"/>
              <w:right w:val="nil"/>
            </w:tcBorders>
            <w:shd w:val="clear" w:color="auto" w:fill="auto"/>
            <w:noWrap/>
            <w:vAlign w:val="center"/>
            <w:hideMark/>
          </w:tcPr>
          <w:p w14:paraId="6E51AF8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single" w:sz="4" w:space="0" w:color="auto"/>
              <w:right w:val="nil"/>
            </w:tcBorders>
            <w:shd w:val="clear" w:color="auto" w:fill="auto"/>
            <w:noWrap/>
            <w:vAlign w:val="center"/>
            <w:hideMark/>
          </w:tcPr>
          <w:p w14:paraId="4EC8243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1276" w:type="dxa"/>
            <w:tcBorders>
              <w:top w:val="nil"/>
              <w:left w:val="nil"/>
              <w:bottom w:val="single" w:sz="4" w:space="0" w:color="auto"/>
              <w:right w:val="nil"/>
            </w:tcBorders>
            <w:shd w:val="clear" w:color="auto" w:fill="auto"/>
            <w:noWrap/>
            <w:vAlign w:val="center"/>
            <w:hideMark/>
          </w:tcPr>
          <w:p w14:paraId="6F21245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r>
    </w:tbl>
    <w:p w14:paraId="56A24DCC" w14:textId="77777777" w:rsidR="00C12B0E" w:rsidRPr="00DC4B6A" w:rsidRDefault="00C12B0E" w:rsidP="001A29C2">
      <w:pPr>
        <w:jc w:val="center"/>
        <w:rPr>
          <w:i/>
          <w:highlight w:val="yellow"/>
        </w:rPr>
      </w:pPr>
    </w:p>
    <w:p w14:paraId="153CB5B4" w14:textId="6E5F883F" w:rsidR="001A29C2" w:rsidRDefault="001A29C2" w:rsidP="001A29C2">
      <w:pPr>
        <w:jc w:val="center"/>
        <w:rPr>
          <w:i/>
        </w:rPr>
      </w:pPr>
      <w:r w:rsidRPr="00007BE0">
        <w:rPr>
          <w:i/>
        </w:rPr>
        <w:t>Tabla 5. Valores de los indicadores de salud del cultivo evaluados en la finca Bellavista, mayo de 2024.</w:t>
      </w:r>
    </w:p>
    <w:tbl>
      <w:tblPr>
        <w:tblW w:w="6663" w:type="dxa"/>
        <w:jc w:val="center"/>
        <w:tblCellMar>
          <w:left w:w="70" w:type="dxa"/>
          <w:right w:w="70" w:type="dxa"/>
        </w:tblCellMar>
        <w:tblLook w:val="04A0" w:firstRow="1" w:lastRow="0" w:firstColumn="1" w:lastColumn="0" w:noHBand="0" w:noVBand="1"/>
      </w:tblPr>
      <w:tblGrid>
        <w:gridCol w:w="3119"/>
        <w:gridCol w:w="425"/>
        <w:gridCol w:w="567"/>
        <w:gridCol w:w="425"/>
        <w:gridCol w:w="567"/>
        <w:gridCol w:w="364"/>
        <w:gridCol w:w="1196"/>
      </w:tblGrid>
      <w:tr w:rsidR="00007BE0" w:rsidRPr="00007BE0" w14:paraId="3C759F17" w14:textId="77777777" w:rsidTr="00007BE0">
        <w:trPr>
          <w:trHeight w:val="269"/>
          <w:jc w:val="center"/>
        </w:trPr>
        <w:tc>
          <w:tcPr>
            <w:tcW w:w="3119" w:type="dxa"/>
            <w:vMerge w:val="restart"/>
            <w:tcBorders>
              <w:top w:val="single" w:sz="4" w:space="0" w:color="auto"/>
              <w:left w:val="nil"/>
              <w:bottom w:val="single" w:sz="4" w:space="0" w:color="000000"/>
              <w:right w:val="nil"/>
            </w:tcBorders>
            <w:shd w:val="clear" w:color="auto" w:fill="auto"/>
            <w:noWrap/>
            <w:vAlign w:val="center"/>
            <w:hideMark/>
          </w:tcPr>
          <w:p w14:paraId="7AB86AC4"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Variable</w:t>
            </w:r>
          </w:p>
        </w:tc>
        <w:tc>
          <w:tcPr>
            <w:tcW w:w="2348" w:type="dxa"/>
            <w:gridSpan w:val="5"/>
            <w:tcBorders>
              <w:top w:val="single" w:sz="4" w:space="0" w:color="auto"/>
              <w:left w:val="nil"/>
              <w:bottom w:val="single" w:sz="4" w:space="0" w:color="auto"/>
              <w:right w:val="nil"/>
            </w:tcBorders>
            <w:shd w:val="clear" w:color="auto" w:fill="auto"/>
            <w:noWrap/>
            <w:vAlign w:val="center"/>
            <w:hideMark/>
          </w:tcPr>
          <w:p w14:paraId="0FE4E71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Lote</w:t>
            </w:r>
          </w:p>
        </w:tc>
        <w:tc>
          <w:tcPr>
            <w:tcW w:w="1196" w:type="dxa"/>
            <w:vMerge w:val="restart"/>
            <w:tcBorders>
              <w:top w:val="single" w:sz="4" w:space="0" w:color="auto"/>
              <w:left w:val="nil"/>
              <w:bottom w:val="single" w:sz="4" w:space="0" w:color="000000"/>
              <w:right w:val="nil"/>
            </w:tcBorders>
            <w:shd w:val="clear" w:color="auto" w:fill="auto"/>
            <w:noWrap/>
            <w:vAlign w:val="center"/>
            <w:hideMark/>
          </w:tcPr>
          <w:p w14:paraId="5B829AB3"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Promedio</w:t>
            </w:r>
          </w:p>
        </w:tc>
      </w:tr>
      <w:tr w:rsidR="00007BE0" w:rsidRPr="00007BE0" w14:paraId="069A1954" w14:textId="77777777" w:rsidTr="00007BE0">
        <w:trPr>
          <w:trHeight w:val="269"/>
          <w:jc w:val="center"/>
        </w:trPr>
        <w:tc>
          <w:tcPr>
            <w:tcW w:w="3119" w:type="dxa"/>
            <w:vMerge/>
            <w:tcBorders>
              <w:top w:val="nil"/>
              <w:left w:val="nil"/>
              <w:bottom w:val="single" w:sz="4" w:space="0" w:color="000000"/>
              <w:right w:val="nil"/>
            </w:tcBorders>
            <w:vAlign w:val="center"/>
            <w:hideMark/>
          </w:tcPr>
          <w:p w14:paraId="07651BF0" w14:textId="77777777" w:rsidR="00007BE0" w:rsidRPr="00007BE0" w:rsidRDefault="00007BE0" w:rsidP="00007BE0">
            <w:pPr>
              <w:spacing w:after="0" w:line="240" w:lineRule="auto"/>
              <w:rPr>
                <w:rFonts w:ascii="Calibri" w:eastAsia="Times New Roman" w:hAnsi="Calibri" w:cs="Times New Roman"/>
                <w:color w:val="000000"/>
                <w:lang w:eastAsia="es-CO"/>
              </w:rPr>
            </w:pPr>
          </w:p>
        </w:tc>
        <w:tc>
          <w:tcPr>
            <w:tcW w:w="425" w:type="dxa"/>
            <w:tcBorders>
              <w:top w:val="nil"/>
              <w:left w:val="nil"/>
              <w:bottom w:val="single" w:sz="4" w:space="0" w:color="auto"/>
              <w:right w:val="nil"/>
            </w:tcBorders>
            <w:shd w:val="clear" w:color="auto" w:fill="auto"/>
            <w:noWrap/>
            <w:vAlign w:val="center"/>
            <w:hideMark/>
          </w:tcPr>
          <w:p w14:paraId="4CED6CD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567" w:type="dxa"/>
            <w:tcBorders>
              <w:top w:val="nil"/>
              <w:left w:val="nil"/>
              <w:bottom w:val="single" w:sz="4" w:space="0" w:color="auto"/>
              <w:right w:val="nil"/>
            </w:tcBorders>
            <w:shd w:val="clear" w:color="auto" w:fill="auto"/>
            <w:noWrap/>
            <w:vAlign w:val="center"/>
            <w:hideMark/>
          </w:tcPr>
          <w:p w14:paraId="4B75B68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2</w:t>
            </w:r>
          </w:p>
        </w:tc>
        <w:tc>
          <w:tcPr>
            <w:tcW w:w="425" w:type="dxa"/>
            <w:tcBorders>
              <w:top w:val="nil"/>
              <w:left w:val="nil"/>
              <w:bottom w:val="single" w:sz="4" w:space="0" w:color="auto"/>
              <w:right w:val="nil"/>
            </w:tcBorders>
            <w:shd w:val="clear" w:color="auto" w:fill="auto"/>
            <w:noWrap/>
            <w:vAlign w:val="center"/>
            <w:hideMark/>
          </w:tcPr>
          <w:p w14:paraId="7DE8DA0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3</w:t>
            </w:r>
          </w:p>
        </w:tc>
        <w:tc>
          <w:tcPr>
            <w:tcW w:w="567" w:type="dxa"/>
            <w:tcBorders>
              <w:top w:val="nil"/>
              <w:left w:val="nil"/>
              <w:bottom w:val="single" w:sz="4" w:space="0" w:color="auto"/>
              <w:right w:val="nil"/>
            </w:tcBorders>
            <w:shd w:val="clear" w:color="auto" w:fill="auto"/>
            <w:noWrap/>
            <w:vAlign w:val="center"/>
            <w:hideMark/>
          </w:tcPr>
          <w:p w14:paraId="6901D93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364" w:type="dxa"/>
            <w:tcBorders>
              <w:top w:val="nil"/>
              <w:left w:val="nil"/>
              <w:bottom w:val="single" w:sz="4" w:space="0" w:color="auto"/>
              <w:right w:val="nil"/>
            </w:tcBorders>
            <w:shd w:val="clear" w:color="auto" w:fill="auto"/>
            <w:noWrap/>
            <w:vAlign w:val="center"/>
            <w:hideMark/>
          </w:tcPr>
          <w:p w14:paraId="06F82C78"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1196" w:type="dxa"/>
            <w:vMerge/>
            <w:tcBorders>
              <w:top w:val="single" w:sz="4" w:space="0" w:color="auto"/>
              <w:left w:val="nil"/>
              <w:bottom w:val="single" w:sz="4" w:space="0" w:color="000000"/>
              <w:right w:val="nil"/>
            </w:tcBorders>
            <w:vAlign w:val="center"/>
            <w:hideMark/>
          </w:tcPr>
          <w:p w14:paraId="79CE9E41" w14:textId="77777777" w:rsidR="00007BE0" w:rsidRPr="00007BE0" w:rsidRDefault="00007BE0" w:rsidP="00007BE0">
            <w:pPr>
              <w:spacing w:after="0" w:line="240" w:lineRule="auto"/>
              <w:rPr>
                <w:rFonts w:ascii="Calibri" w:eastAsia="Times New Roman" w:hAnsi="Calibri" w:cs="Times New Roman"/>
                <w:color w:val="000000"/>
                <w:lang w:eastAsia="es-CO"/>
              </w:rPr>
            </w:pPr>
          </w:p>
        </w:tc>
      </w:tr>
      <w:tr w:rsidR="00007BE0" w:rsidRPr="00007BE0" w14:paraId="5E1EA417" w14:textId="77777777" w:rsidTr="00007BE0">
        <w:trPr>
          <w:trHeight w:val="269"/>
          <w:jc w:val="center"/>
        </w:trPr>
        <w:tc>
          <w:tcPr>
            <w:tcW w:w="3119" w:type="dxa"/>
            <w:tcBorders>
              <w:top w:val="nil"/>
              <w:left w:val="nil"/>
              <w:bottom w:val="nil"/>
              <w:right w:val="nil"/>
            </w:tcBorders>
            <w:shd w:val="clear" w:color="auto" w:fill="auto"/>
            <w:noWrap/>
            <w:vAlign w:val="center"/>
            <w:hideMark/>
          </w:tcPr>
          <w:p w14:paraId="60CA6CC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Apariencia</w:t>
            </w:r>
          </w:p>
        </w:tc>
        <w:tc>
          <w:tcPr>
            <w:tcW w:w="425" w:type="dxa"/>
            <w:tcBorders>
              <w:top w:val="nil"/>
              <w:left w:val="nil"/>
              <w:bottom w:val="nil"/>
              <w:right w:val="nil"/>
            </w:tcBorders>
            <w:shd w:val="clear" w:color="auto" w:fill="auto"/>
            <w:noWrap/>
            <w:vAlign w:val="center"/>
            <w:hideMark/>
          </w:tcPr>
          <w:p w14:paraId="50BBF02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567" w:type="dxa"/>
            <w:tcBorders>
              <w:top w:val="nil"/>
              <w:left w:val="nil"/>
              <w:bottom w:val="nil"/>
              <w:right w:val="nil"/>
            </w:tcBorders>
            <w:shd w:val="clear" w:color="auto" w:fill="auto"/>
            <w:noWrap/>
            <w:vAlign w:val="center"/>
            <w:hideMark/>
          </w:tcPr>
          <w:p w14:paraId="54F8C42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425" w:type="dxa"/>
            <w:tcBorders>
              <w:top w:val="nil"/>
              <w:left w:val="nil"/>
              <w:bottom w:val="nil"/>
              <w:right w:val="nil"/>
            </w:tcBorders>
            <w:shd w:val="clear" w:color="auto" w:fill="auto"/>
            <w:noWrap/>
            <w:vAlign w:val="center"/>
            <w:hideMark/>
          </w:tcPr>
          <w:p w14:paraId="668B2BD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041ED9F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364" w:type="dxa"/>
            <w:tcBorders>
              <w:top w:val="nil"/>
              <w:left w:val="nil"/>
              <w:bottom w:val="nil"/>
              <w:right w:val="nil"/>
            </w:tcBorders>
            <w:shd w:val="clear" w:color="auto" w:fill="auto"/>
            <w:noWrap/>
            <w:vAlign w:val="center"/>
            <w:hideMark/>
          </w:tcPr>
          <w:p w14:paraId="2E9C84F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1196" w:type="dxa"/>
            <w:tcBorders>
              <w:top w:val="nil"/>
              <w:left w:val="nil"/>
              <w:bottom w:val="nil"/>
              <w:right w:val="nil"/>
            </w:tcBorders>
            <w:shd w:val="clear" w:color="auto" w:fill="auto"/>
            <w:noWrap/>
            <w:vAlign w:val="center"/>
            <w:hideMark/>
          </w:tcPr>
          <w:p w14:paraId="45A4CB78"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r>
      <w:tr w:rsidR="00007BE0" w:rsidRPr="00007BE0" w14:paraId="5BF261FA" w14:textId="77777777" w:rsidTr="00007BE0">
        <w:trPr>
          <w:trHeight w:val="269"/>
          <w:jc w:val="center"/>
        </w:trPr>
        <w:tc>
          <w:tcPr>
            <w:tcW w:w="3119" w:type="dxa"/>
            <w:tcBorders>
              <w:top w:val="nil"/>
              <w:left w:val="nil"/>
              <w:bottom w:val="nil"/>
              <w:right w:val="nil"/>
            </w:tcBorders>
            <w:shd w:val="clear" w:color="auto" w:fill="auto"/>
            <w:noWrap/>
            <w:vAlign w:val="center"/>
            <w:hideMark/>
          </w:tcPr>
          <w:p w14:paraId="5889FCF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lastRenderedPageBreak/>
              <w:t>Rendimiento actual y potencial</w:t>
            </w:r>
          </w:p>
        </w:tc>
        <w:tc>
          <w:tcPr>
            <w:tcW w:w="425" w:type="dxa"/>
            <w:tcBorders>
              <w:top w:val="nil"/>
              <w:left w:val="nil"/>
              <w:bottom w:val="nil"/>
              <w:right w:val="nil"/>
            </w:tcBorders>
            <w:shd w:val="clear" w:color="auto" w:fill="auto"/>
            <w:noWrap/>
            <w:vAlign w:val="center"/>
            <w:hideMark/>
          </w:tcPr>
          <w:p w14:paraId="40BA7E2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4D87542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425" w:type="dxa"/>
            <w:tcBorders>
              <w:top w:val="nil"/>
              <w:left w:val="nil"/>
              <w:bottom w:val="nil"/>
              <w:right w:val="nil"/>
            </w:tcBorders>
            <w:shd w:val="clear" w:color="auto" w:fill="auto"/>
            <w:noWrap/>
            <w:vAlign w:val="center"/>
            <w:hideMark/>
          </w:tcPr>
          <w:p w14:paraId="5BB3FA7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567" w:type="dxa"/>
            <w:tcBorders>
              <w:top w:val="nil"/>
              <w:left w:val="nil"/>
              <w:bottom w:val="nil"/>
              <w:right w:val="nil"/>
            </w:tcBorders>
            <w:shd w:val="clear" w:color="auto" w:fill="auto"/>
            <w:noWrap/>
            <w:vAlign w:val="center"/>
            <w:hideMark/>
          </w:tcPr>
          <w:p w14:paraId="229B833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w:t>
            </w:r>
          </w:p>
        </w:tc>
        <w:tc>
          <w:tcPr>
            <w:tcW w:w="364" w:type="dxa"/>
            <w:tcBorders>
              <w:top w:val="nil"/>
              <w:left w:val="nil"/>
              <w:bottom w:val="nil"/>
              <w:right w:val="nil"/>
            </w:tcBorders>
            <w:shd w:val="clear" w:color="auto" w:fill="auto"/>
            <w:noWrap/>
            <w:vAlign w:val="center"/>
            <w:hideMark/>
          </w:tcPr>
          <w:p w14:paraId="4305975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1196" w:type="dxa"/>
            <w:tcBorders>
              <w:top w:val="nil"/>
              <w:left w:val="nil"/>
              <w:bottom w:val="nil"/>
              <w:right w:val="nil"/>
            </w:tcBorders>
            <w:shd w:val="clear" w:color="auto" w:fill="auto"/>
            <w:noWrap/>
            <w:vAlign w:val="center"/>
            <w:hideMark/>
          </w:tcPr>
          <w:p w14:paraId="488CC87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r>
      <w:tr w:rsidR="00007BE0" w:rsidRPr="00007BE0" w14:paraId="533EDF3A" w14:textId="77777777" w:rsidTr="00007BE0">
        <w:trPr>
          <w:trHeight w:val="269"/>
          <w:jc w:val="center"/>
        </w:trPr>
        <w:tc>
          <w:tcPr>
            <w:tcW w:w="3119" w:type="dxa"/>
            <w:tcBorders>
              <w:top w:val="nil"/>
              <w:left w:val="nil"/>
              <w:bottom w:val="nil"/>
              <w:right w:val="nil"/>
            </w:tcBorders>
            <w:shd w:val="clear" w:color="auto" w:fill="auto"/>
            <w:noWrap/>
            <w:vAlign w:val="center"/>
            <w:hideMark/>
          </w:tcPr>
          <w:p w14:paraId="7CA5A63C"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Crecimiento de cultivo</w:t>
            </w:r>
          </w:p>
        </w:tc>
        <w:tc>
          <w:tcPr>
            <w:tcW w:w="425" w:type="dxa"/>
            <w:tcBorders>
              <w:top w:val="nil"/>
              <w:left w:val="nil"/>
              <w:bottom w:val="nil"/>
              <w:right w:val="nil"/>
            </w:tcBorders>
            <w:shd w:val="clear" w:color="auto" w:fill="auto"/>
            <w:noWrap/>
            <w:vAlign w:val="center"/>
            <w:hideMark/>
          </w:tcPr>
          <w:p w14:paraId="79E733A5"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567" w:type="dxa"/>
            <w:tcBorders>
              <w:top w:val="nil"/>
              <w:left w:val="nil"/>
              <w:bottom w:val="nil"/>
              <w:right w:val="nil"/>
            </w:tcBorders>
            <w:shd w:val="clear" w:color="auto" w:fill="auto"/>
            <w:noWrap/>
            <w:vAlign w:val="center"/>
            <w:hideMark/>
          </w:tcPr>
          <w:p w14:paraId="35B537D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5" w:type="dxa"/>
            <w:tcBorders>
              <w:top w:val="nil"/>
              <w:left w:val="nil"/>
              <w:bottom w:val="nil"/>
              <w:right w:val="nil"/>
            </w:tcBorders>
            <w:shd w:val="clear" w:color="auto" w:fill="auto"/>
            <w:noWrap/>
            <w:vAlign w:val="center"/>
            <w:hideMark/>
          </w:tcPr>
          <w:p w14:paraId="042C8A3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3BBF995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364" w:type="dxa"/>
            <w:tcBorders>
              <w:top w:val="nil"/>
              <w:left w:val="nil"/>
              <w:bottom w:val="nil"/>
              <w:right w:val="nil"/>
            </w:tcBorders>
            <w:shd w:val="clear" w:color="auto" w:fill="auto"/>
            <w:noWrap/>
            <w:vAlign w:val="center"/>
            <w:hideMark/>
          </w:tcPr>
          <w:p w14:paraId="406AFA12"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c>
          <w:tcPr>
            <w:tcW w:w="1196" w:type="dxa"/>
            <w:tcBorders>
              <w:top w:val="nil"/>
              <w:left w:val="nil"/>
              <w:bottom w:val="nil"/>
              <w:right w:val="nil"/>
            </w:tcBorders>
            <w:shd w:val="clear" w:color="auto" w:fill="auto"/>
            <w:noWrap/>
            <w:vAlign w:val="center"/>
            <w:hideMark/>
          </w:tcPr>
          <w:p w14:paraId="63085F5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r>
      <w:tr w:rsidR="00007BE0" w:rsidRPr="00007BE0" w14:paraId="43526438" w14:textId="77777777" w:rsidTr="00007BE0">
        <w:trPr>
          <w:trHeight w:val="269"/>
          <w:jc w:val="center"/>
        </w:trPr>
        <w:tc>
          <w:tcPr>
            <w:tcW w:w="3119" w:type="dxa"/>
            <w:tcBorders>
              <w:top w:val="nil"/>
              <w:left w:val="nil"/>
              <w:bottom w:val="nil"/>
              <w:right w:val="nil"/>
            </w:tcBorders>
            <w:shd w:val="clear" w:color="auto" w:fill="auto"/>
            <w:noWrap/>
            <w:vAlign w:val="center"/>
            <w:hideMark/>
          </w:tcPr>
          <w:p w14:paraId="2E06A49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Diversidad genética</w:t>
            </w:r>
          </w:p>
        </w:tc>
        <w:tc>
          <w:tcPr>
            <w:tcW w:w="425" w:type="dxa"/>
            <w:tcBorders>
              <w:top w:val="nil"/>
              <w:left w:val="nil"/>
              <w:bottom w:val="nil"/>
              <w:right w:val="nil"/>
            </w:tcBorders>
            <w:shd w:val="clear" w:color="auto" w:fill="auto"/>
            <w:noWrap/>
            <w:vAlign w:val="center"/>
            <w:hideMark/>
          </w:tcPr>
          <w:p w14:paraId="4FE5EE21"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42ED52B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425" w:type="dxa"/>
            <w:tcBorders>
              <w:top w:val="nil"/>
              <w:left w:val="nil"/>
              <w:bottom w:val="nil"/>
              <w:right w:val="nil"/>
            </w:tcBorders>
            <w:shd w:val="clear" w:color="auto" w:fill="auto"/>
            <w:noWrap/>
            <w:vAlign w:val="center"/>
            <w:hideMark/>
          </w:tcPr>
          <w:p w14:paraId="2589F69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567" w:type="dxa"/>
            <w:tcBorders>
              <w:top w:val="nil"/>
              <w:left w:val="nil"/>
              <w:bottom w:val="nil"/>
              <w:right w:val="nil"/>
            </w:tcBorders>
            <w:shd w:val="clear" w:color="auto" w:fill="auto"/>
            <w:noWrap/>
            <w:vAlign w:val="center"/>
            <w:hideMark/>
          </w:tcPr>
          <w:p w14:paraId="38C5D1BA"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364" w:type="dxa"/>
            <w:tcBorders>
              <w:top w:val="nil"/>
              <w:left w:val="nil"/>
              <w:bottom w:val="nil"/>
              <w:right w:val="nil"/>
            </w:tcBorders>
            <w:shd w:val="clear" w:color="auto" w:fill="auto"/>
            <w:noWrap/>
            <w:vAlign w:val="center"/>
            <w:hideMark/>
          </w:tcPr>
          <w:p w14:paraId="180BA25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c>
          <w:tcPr>
            <w:tcW w:w="1196" w:type="dxa"/>
            <w:tcBorders>
              <w:top w:val="nil"/>
              <w:left w:val="nil"/>
              <w:bottom w:val="nil"/>
              <w:right w:val="nil"/>
            </w:tcBorders>
            <w:shd w:val="clear" w:color="auto" w:fill="auto"/>
            <w:noWrap/>
            <w:vAlign w:val="center"/>
            <w:hideMark/>
          </w:tcPr>
          <w:p w14:paraId="1160A2C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10</w:t>
            </w:r>
          </w:p>
        </w:tc>
      </w:tr>
      <w:tr w:rsidR="00007BE0" w:rsidRPr="00007BE0" w14:paraId="60E37092" w14:textId="77777777" w:rsidTr="00007BE0">
        <w:trPr>
          <w:trHeight w:val="269"/>
          <w:jc w:val="center"/>
        </w:trPr>
        <w:tc>
          <w:tcPr>
            <w:tcW w:w="3119" w:type="dxa"/>
            <w:tcBorders>
              <w:top w:val="nil"/>
              <w:left w:val="nil"/>
              <w:bottom w:val="nil"/>
              <w:right w:val="nil"/>
            </w:tcBorders>
            <w:shd w:val="clear" w:color="auto" w:fill="auto"/>
            <w:noWrap/>
            <w:vAlign w:val="center"/>
            <w:hideMark/>
          </w:tcPr>
          <w:p w14:paraId="4ADB98B4"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incidencia de enfermedades</w:t>
            </w:r>
          </w:p>
        </w:tc>
        <w:tc>
          <w:tcPr>
            <w:tcW w:w="425" w:type="dxa"/>
            <w:tcBorders>
              <w:top w:val="nil"/>
              <w:left w:val="nil"/>
              <w:bottom w:val="nil"/>
              <w:right w:val="nil"/>
            </w:tcBorders>
            <w:shd w:val="clear" w:color="auto" w:fill="auto"/>
            <w:noWrap/>
            <w:vAlign w:val="center"/>
            <w:hideMark/>
          </w:tcPr>
          <w:p w14:paraId="657DFB7E"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9</w:t>
            </w:r>
          </w:p>
        </w:tc>
        <w:tc>
          <w:tcPr>
            <w:tcW w:w="567" w:type="dxa"/>
            <w:tcBorders>
              <w:top w:val="nil"/>
              <w:left w:val="nil"/>
              <w:bottom w:val="nil"/>
              <w:right w:val="nil"/>
            </w:tcBorders>
            <w:shd w:val="clear" w:color="auto" w:fill="auto"/>
            <w:noWrap/>
            <w:vAlign w:val="center"/>
            <w:hideMark/>
          </w:tcPr>
          <w:p w14:paraId="2D260344"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425" w:type="dxa"/>
            <w:tcBorders>
              <w:top w:val="nil"/>
              <w:left w:val="nil"/>
              <w:bottom w:val="nil"/>
              <w:right w:val="nil"/>
            </w:tcBorders>
            <w:shd w:val="clear" w:color="auto" w:fill="auto"/>
            <w:noWrap/>
            <w:vAlign w:val="center"/>
            <w:hideMark/>
          </w:tcPr>
          <w:p w14:paraId="26581029"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567" w:type="dxa"/>
            <w:tcBorders>
              <w:top w:val="nil"/>
              <w:left w:val="nil"/>
              <w:bottom w:val="nil"/>
              <w:right w:val="nil"/>
            </w:tcBorders>
            <w:shd w:val="clear" w:color="auto" w:fill="auto"/>
            <w:noWrap/>
            <w:vAlign w:val="center"/>
            <w:hideMark/>
          </w:tcPr>
          <w:p w14:paraId="1B70C12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4</w:t>
            </w:r>
          </w:p>
        </w:tc>
        <w:tc>
          <w:tcPr>
            <w:tcW w:w="364" w:type="dxa"/>
            <w:tcBorders>
              <w:top w:val="nil"/>
              <w:left w:val="nil"/>
              <w:bottom w:val="nil"/>
              <w:right w:val="nil"/>
            </w:tcBorders>
            <w:shd w:val="clear" w:color="auto" w:fill="auto"/>
            <w:noWrap/>
            <w:vAlign w:val="center"/>
            <w:hideMark/>
          </w:tcPr>
          <w:p w14:paraId="4FAF8B6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2</w:t>
            </w:r>
          </w:p>
        </w:tc>
        <w:tc>
          <w:tcPr>
            <w:tcW w:w="1196" w:type="dxa"/>
            <w:tcBorders>
              <w:top w:val="nil"/>
              <w:left w:val="nil"/>
              <w:bottom w:val="nil"/>
              <w:right w:val="nil"/>
            </w:tcBorders>
            <w:shd w:val="clear" w:color="auto" w:fill="auto"/>
            <w:noWrap/>
            <w:vAlign w:val="center"/>
            <w:hideMark/>
          </w:tcPr>
          <w:p w14:paraId="1C82CC47"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5</w:t>
            </w:r>
          </w:p>
        </w:tc>
      </w:tr>
      <w:tr w:rsidR="00007BE0" w:rsidRPr="00007BE0" w14:paraId="47452A19" w14:textId="77777777" w:rsidTr="00007BE0">
        <w:trPr>
          <w:trHeight w:val="269"/>
          <w:jc w:val="center"/>
        </w:trPr>
        <w:tc>
          <w:tcPr>
            <w:tcW w:w="3119" w:type="dxa"/>
            <w:tcBorders>
              <w:top w:val="nil"/>
              <w:left w:val="nil"/>
              <w:bottom w:val="single" w:sz="4" w:space="0" w:color="auto"/>
              <w:right w:val="nil"/>
            </w:tcBorders>
            <w:shd w:val="clear" w:color="auto" w:fill="auto"/>
            <w:noWrap/>
            <w:vAlign w:val="center"/>
            <w:hideMark/>
          </w:tcPr>
          <w:p w14:paraId="1062746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 xml:space="preserve">Diversidad natural circundante </w:t>
            </w:r>
          </w:p>
        </w:tc>
        <w:tc>
          <w:tcPr>
            <w:tcW w:w="425" w:type="dxa"/>
            <w:tcBorders>
              <w:top w:val="nil"/>
              <w:left w:val="nil"/>
              <w:bottom w:val="single" w:sz="4" w:space="0" w:color="auto"/>
              <w:right w:val="nil"/>
            </w:tcBorders>
            <w:shd w:val="clear" w:color="auto" w:fill="auto"/>
            <w:noWrap/>
            <w:vAlign w:val="center"/>
            <w:hideMark/>
          </w:tcPr>
          <w:p w14:paraId="2C181AFD"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7</w:t>
            </w:r>
          </w:p>
        </w:tc>
        <w:tc>
          <w:tcPr>
            <w:tcW w:w="567" w:type="dxa"/>
            <w:tcBorders>
              <w:top w:val="nil"/>
              <w:left w:val="nil"/>
              <w:bottom w:val="single" w:sz="4" w:space="0" w:color="auto"/>
              <w:right w:val="nil"/>
            </w:tcBorders>
            <w:shd w:val="clear" w:color="auto" w:fill="auto"/>
            <w:noWrap/>
            <w:vAlign w:val="center"/>
            <w:hideMark/>
          </w:tcPr>
          <w:p w14:paraId="33D01CA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9</w:t>
            </w:r>
          </w:p>
        </w:tc>
        <w:tc>
          <w:tcPr>
            <w:tcW w:w="425" w:type="dxa"/>
            <w:tcBorders>
              <w:top w:val="nil"/>
              <w:left w:val="nil"/>
              <w:bottom w:val="single" w:sz="4" w:space="0" w:color="auto"/>
              <w:right w:val="nil"/>
            </w:tcBorders>
            <w:shd w:val="clear" w:color="auto" w:fill="auto"/>
            <w:noWrap/>
            <w:vAlign w:val="center"/>
            <w:hideMark/>
          </w:tcPr>
          <w:p w14:paraId="51E7E3BF"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567" w:type="dxa"/>
            <w:tcBorders>
              <w:top w:val="nil"/>
              <w:left w:val="nil"/>
              <w:bottom w:val="single" w:sz="4" w:space="0" w:color="auto"/>
              <w:right w:val="nil"/>
            </w:tcBorders>
            <w:shd w:val="clear" w:color="auto" w:fill="auto"/>
            <w:noWrap/>
            <w:vAlign w:val="center"/>
            <w:hideMark/>
          </w:tcPr>
          <w:p w14:paraId="4818EF40"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8</w:t>
            </w:r>
          </w:p>
        </w:tc>
        <w:tc>
          <w:tcPr>
            <w:tcW w:w="364" w:type="dxa"/>
            <w:tcBorders>
              <w:top w:val="nil"/>
              <w:left w:val="nil"/>
              <w:bottom w:val="single" w:sz="4" w:space="0" w:color="auto"/>
              <w:right w:val="nil"/>
            </w:tcBorders>
            <w:shd w:val="clear" w:color="auto" w:fill="auto"/>
            <w:noWrap/>
            <w:vAlign w:val="center"/>
            <w:hideMark/>
          </w:tcPr>
          <w:p w14:paraId="7F9F546B"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6</w:t>
            </w:r>
          </w:p>
        </w:tc>
        <w:tc>
          <w:tcPr>
            <w:tcW w:w="1196" w:type="dxa"/>
            <w:tcBorders>
              <w:top w:val="nil"/>
              <w:left w:val="nil"/>
              <w:bottom w:val="single" w:sz="4" w:space="0" w:color="auto"/>
              <w:right w:val="nil"/>
            </w:tcBorders>
            <w:shd w:val="clear" w:color="auto" w:fill="auto"/>
            <w:noWrap/>
            <w:vAlign w:val="center"/>
            <w:hideMark/>
          </w:tcPr>
          <w:p w14:paraId="1E769BD6" w14:textId="77777777" w:rsidR="00007BE0" w:rsidRPr="00007BE0" w:rsidRDefault="00007BE0" w:rsidP="00007BE0">
            <w:pPr>
              <w:spacing w:after="0" w:line="240" w:lineRule="auto"/>
              <w:jc w:val="center"/>
              <w:rPr>
                <w:rFonts w:ascii="Calibri" w:eastAsia="Times New Roman" w:hAnsi="Calibri" w:cs="Times New Roman"/>
                <w:color w:val="000000"/>
                <w:lang w:eastAsia="es-CO"/>
              </w:rPr>
            </w:pPr>
            <w:r w:rsidRPr="00007BE0">
              <w:rPr>
                <w:rFonts w:ascii="Calibri" w:eastAsia="Times New Roman" w:hAnsi="Calibri" w:cs="Times New Roman"/>
                <w:color w:val="000000"/>
                <w:lang w:eastAsia="es-CO"/>
              </w:rPr>
              <w:t>8</w:t>
            </w:r>
          </w:p>
        </w:tc>
      </w:tr>
    </w:tbl>
    <w:p w14:paraId="61FAC65B" w14:textId="6C98796E" w:rsidR="001A29C2" w:rsidRDefault="001A29C2" w:rsidP="001A29C2"/>
    <w:p w14:paraId="30777223" w14:textId="37454B47" w:rsidR="001A29C2" w:rsidRDefault="001A29C2" w:rsidP="001A29C2">
      <w:r>
        <w:t xml:space="preserve">A partir de los valores obtenidos, se implementó un segundo taller, el cual fue socializado con el productor, con el objetivo de </w:t>
      </w:r>
      <w:r w:rsidRPr="001A29C2">
        <w:t>elaborar diagramas radiales</w:t>
      </w:r>
      <w:r>
        <w:t xml:space="preserve"> para la calidad y salud del suelo</w:t>
      </w:r>
      <w:r w:rsidRPr="001A29C2">
        <w:t>, construidos con la participac</w:t>
      </w:r>
      <w:r>
        <w:t xml:space="preserve">ión de estudiantes y la familia (Figura 3 y 4). </w:t>
      </w:r>
    </w:p>
    <w:p w14:paraId="7865B510" w14:textId="0AF36AE5" w:rsidR="001A29C2" w:rsidRDefault="001A29C2" w:rsidP="001A29C2">
      <w:pPr>
        <w:jc w:val="center"/>
      </w:pPr>
      <w:r>
        <w:rPr>
          <w:noProof/>
          <w:lang w:val="en-US"/>
        </w:rPr>
        <w:drawing>
          <wp:inline distT="0" distB="0" distL="0" distR="0" wp14:anchorId="37589248" wp14:editId="5BF0ABBF">
            <wp:extent cx="4892040" cy="2714625"/>
            <wp:effectExtent l="0" t="0" r="3810" b="0"/>
            <wp:docPr id="3" name="Gráfico 3">
              <a:extLst xmlns:a="http://schemas.openxmlformats.org/drawingml/2006/main">
                <a:ext uri="{FF2B5EF4-FFF2-40B4-BE49-F238E27FC236}">
                  <a16:creationId xmlns:a16="http://schemas.microsoft.com/office/drawing/2014/main" id="{55CD5E49-2E6C-AAAB-555E-48C5BDBF88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06EC15C" w14:textId="7AC1712C" w:rsidR="001A29C2" w:rsidRDefault="001A29C2" w:rsidP="001A29C2">
      <w:pPr>
        <w:rPr>
          <w:i/>
        </w:rPr>
      </w:pPr>
      <w:r w:rsidRPr="001A29C2">
        <w:rPr>
          <w:i/>
        </w:rPr>
        <w:t>Figura 3. Diagrama radial representativo del estado de calidad del suelo de la finca Bellavista, vereda Pericos, municipio de Ibagué, departamento del Tolima, Colombia, mayo de 2024.</w:t>
      </w:r>
    </w:p>
    <w:p w14:paraId="1AE40EBA" w14:textId="4EA4EEB0" w:rsidR="001A29C2" w:rsidRDefault="001A29C2" w:rsidP="001A29C2">
      <w:pPr>
        <w:jc w:val="center"/>
        <w:rPr>
          <w:i/>
        </w:rPr>
      </w:pPr>
      <w:r>
        <w:rPr>
          <w:noProof/>
          <w:lang w:val="en-US"/>
        </w:rPr>
        <w:drawing>
          <wp:inline distT="0" distB="0" distL="0" distR="0" wp14:anchorId="2865B59F" wp14:editId="1BF77EE9">
            <wp:extent cx="6467475" cy="2543175"/>
            <wp:effectExtent l="0" t="0" r="0" b="0"/>
            <wp:docPr id="4" name="Gráfico 4">
              <a:extLst xmlns:a="http://schemas.openxmlformats.org/drawingml/2006/main">
                <a:ext uri="{FF2B5EF4-FFF2-40B4-BE49-F238E27FC236}">
                  <a16:creationId xmlns:a16="http://schemas.microsoft.com/office/drawing/2014/main" id="{5ABE54B9-ADF9-3961-F98D-E9E92B21F4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F0F7B2F" w14:textId="12CA6CED" w:rsidR="001A29C2" w:rsidRPr="001A29C2" w:rsidRDefault="001A29C2" w:rsidP="001A29C2">
      <w:pPr>
        <w:rPr>
          <w:i/>
        </w:rPr>
      </w:pPr>
      <w:r>
        <w:rPr>
          <w:i/>
        </w:rPr>
        <w:t>Figura 4.</w:t>
      </w:r>
      <w:r w:rsidRPr="001A29C2">
        <w:rPr>
          <w:i/>
        </w:rPr>
        <w:t xml:space="preserve"> Diagrama radial representativo del estado de salud del suelo de la finca Bellavista, vereda Pericos, municipio de Ibagué, departamento del Tolima, Colombia, mayo 2024.</w:t>
      </w:r>
    </w:p>
    <w:p w14:paraId="276952C3" w14:textId="77777777" w:rsidR="001A29C2" w:rsidRPr="001A29C2" w:rsidRDefault="001A29C2">
      <w:pPr>
        <w:jc w:val="both"/>
      </w:pPr>
    </w:p>
    <w:p w14:paraId="4460D7D1" w14:textId="37064707" w:rsidR="00F148EF" w:rsidRDefault="00F148EF">
      <w:pPr>
        <w:jc w:val="both"/>
        <w:rPr>
          <w:b/>
          <w:i/>
        </w:rPr>
      </w:pPr>
      <w:r>
        <w:rPr>
          <w:b/>
          <w:i/>
        </w:rPr>
        <w:t xml:space="preserve">Etapa 3: Evaluación y </w:t>
      </w:r>
      <w:r w:rsidR="00DF22E8">
        <w:rPr>
          <w:b/>
          <w:i/>
        </w:rPr>
        <w:t>adaptación de las áreas para la</w:t>
      </w:r>
      <w:r>
        <w:rPr>
          <w:b/>
          <w:i/>
        </w:rPr>
        <w:t xml:space="preserve"> implementación de los subsistemas</w:t>
      </w:r>
    </w:p>
    <w:p w14:paraId="544E3230" w14:textId="12EBDA64" w:rsidR="00516DD2" w:rsidRDefault="00516DD2" w:rsidP="009A2DCF">
      <w:r w:rsidRPr="00516DD2">
        <w:t>En cada subsistema se llevó a cabo la adecuación del terreno, que incluyó la eliminación inicial de la cobertura vegetal, la delimitación de las áreas, la preparación del suelo y la creación de canales de riego.</w:t>
      </w:r>
    </w:p>
    <w:p w14:paraId="7D25E1CD" w14:textId="31546D82" w:rsidR="000D7D27" w:rsidRDefault="000D7D27" w:rsidP="009A2DCF"/>
    <w:p w14:paraId="0EF9EDC5" w14:textId="77777777" w:rsidR="000D7D27" w:rsidRDefault="000D7D27" w:rsidP="009A2DCF"/>
    <w:p w14:paraId="4C6D369D" w14:textId="7280DA93" w:rsidR="000A49DB" w:rsidRDefault="000A49DB" w:rsidP="009A2DCF">
      <w:r>
        <w:tab/>
        <w:t>3.1. Huerto agroecológico familiar (HAF)</w:t>
      </w:r>
    </w:p>
    <w:p w14:paraId="6F431FC8" w14:textId="21880327" w:rsidR="000A49DB" w:rsidRDefault="00B5537B" w:rsidP="009A2DCF">
      <w:r>
        <w:t xml:space="preserve">Se establecieron seis camas o parcelas, con una dimensión de 5.8 m x 1.65 m, teniendo en cuenta la distancia de siembre entre cada plántula, con el fin de asegurar el crecimiento adecuado de las plantas. </w:t>
      </w:r>
    </w:p>
    <w:p w14:paraId="62F43254" w14:textId="1A64FC2F" w:rsidR="000A49DB" w:rsidRDefault="000A49DB" w:rsidP="000A49DB">
      <w:pPr>
        <w:ind w:firstLine="708"/>
      </w:pPr>
      <w:r>
        <w:t xml:space="preserve">3.2. Subsistema agroforestal (SAF) </w:t>
      </w:r>
    </w:p>
    <w:p w14:paraId="2F2B69DF" w14:textId="1109682F" w:rsidR="000A49DB" w:rsidRDefault="000A49DB" w:rsidP="000A49DB">
      <w:pPr>
        <w:jc w:val="both"/>
      </w:pPr>
      <w:r>
        <w:t>Se diseñó una parcela con un área de 18 m x 13 m, dividida en cuatro</w:t>
      </w:r>
      <w:r w:rsidR="00B5537B">
        <w:t xml:space="preserve"> </w:t>
      </w:r>
      <w:proofErr w:type="spellStart"/>
      <w:r w:rsidR="00B5537B">
        <w:t>subparcelas</w:t>
      </w:r>
      <w:proofErr w:type="spellEnd"/>
      <w:r w:rsidR="00B5537B">
        <w:t xml:space="preserve"> de 4.</w:t>
      </w:r>
      <w:r>
        <w:t>5 metros, dando un total de 4 parcelas. Una de las parcelas se estableció como testigo, con el fin de poder hacer la comparación con las parcelas restantes, a las cuales se les adicionaría los diferentes abonos para mejorar la producción de los cultivos (tres abonos, uno en cada parcela).</w:t>
      </w:r>
    </w:p>
    <w:p w14:paraId="440814E1" w14:textId="4533AF85" w:rsidR="000A49DB" w:rsidRPr="009A2DCF" w:rsidRDefault="000A49DB" w:rsidP="000A49DB">
      <w:pPr>
        <w:ind w:firstLine="708"/>
      </w:pPr>
      <w:r>
        <w:t>3.3. Abonos orgánicos</w:t>
      </w:r>
    </w:p>
    <w:p w14:paraId="07EA8F89" w14:textId="6FB3AC60" w:rsidR="00CC20AC" w:rsidRPr="00CA68F8" w:rsidRDefault="00516DD2">
      <w:pPr>
        <w:jc w:val="both"/>
      </w:pPr>
      <w:r>
        <w:t xml:space="preserve">Se preparó un espacio específico para ubicar el abono </w:t>
      </w:r>
      <w:proofErr w:type="spellStart"/>
      <w:r>
        <w:t>bocashi</w:t>
      </w:r>
      <w:proofErr w:type="spellEnd"/>
      <w:r>
        <w:t xml:space="preserve">, que fue elaborado junto con la familia residente en la finca Bellavista, asegurando que esté protegido de la exposición directa al sol y a la lluvia. Para el </w:t>
      </w:r>
      <w:proofErr w:type="spellStart"/>
      <w:r>
        <w:t>lombricultivo</w:t>
      </w:r>
      <w:proofErr w:type="spellEnd"/>
      <w:r>
        <w:t xml:space="preserve">, se acondicionaron tres recipientes plásticos con tapa (50 cm x 30 cm x 25 cm), equipados con malla perforada de 2 mm y 1 cm, y una llave de paso para recoger los lixiviados resultantes de la descomposición de la materia orgánica. Finalmente, se establecieron áreas separadas para la elaboración y almacenamiento de abonos orgánicos y componentes de la </w:t>
      </w:r>
      <w:proofErr w:type="spellStart"/>
      <w:r>
        <w:t>biofábrica</w:t>
      </w:r>
      <w:proofErr w:type="spellEnd"/>
      <w:r>
        <w:t>, utilizando seis canecas plásticas.</w:t>
      </w:r>
    </w:p>
    <w:p w14:paraId="7E51A034" w14:textId="34CC8B3F" w:rsidR="00F148EF" w:rsidRDefault="00F148EF">
      <w:pPr>
        <w:jc w:val="both"/>
        <w:rPr>
          <w:b/>
          <w:i/>
        </w:rPr>
      </w:pPr>
      <w:r>
        <w:rPr>
          <w:b/>
          <w:i/>
        </w:rPr>
        <w:t>Etapa 4: Adecuación y estructuración de cada subsistema dentro de la finca</w:t>
      </w:r>
    </w:p>
    <w:p w14:paraId="45425CB1" w14:textId="56B8BFAB" w:rsidR="003B0E13" w:rsidRDefault="003B0E13" w:rsidP="003B0E13">
      <w:pPr>
        <w:ind w:firstLine="708"/>
      </w:pPr>
      <w:r>
        <w:t>4.1. Huerto agroecológico familiar (HAF)</w:t>
      </w:r>
    </w:p>
    <w:p w14:paraId="6C109000" w14:textId="4CE0FA4F" w:rsidR="00E913D5" w:rsidRDefault="00516DD2" w:rsidP="002B0E25">
      <w:pPr>
        <w:jc w:val="both"/>
        <w:rPr>
          <w:noProof/>
          <w:lang w:eastAsia="es-CO"/>
        </w:rPr>
      </w:pPr>
      <w:r w:rsidRPr="00516DD2">
        <w:t>Para optimizar el rendimiento del</w:t>
      </w:r>
      <w:r>
        <w:t xml:space="preserve"> </w:t>
      </w:r>
      <w:r w:rsidR="003C4C8E">
        <w:t xml:space="preserve">HAF, </w:t>
      </w:r>
      <w:r w:rsidRPr="00516DD2">
        <w:t>se implementó un diseño que intercaló plantas aromáticas con diversas hortalizas</w:t>
      </w:r>
      <w:r>
        <w:t xml:space="preserve"> (</w:t>
      </w:r>
      <w:r w:rsidR="00077C70">
        <w:t>Figura 5)</w:t>
      </w:r>
      <w:r w:rsidR="002B0E25">
        <w:t xml:space="preserve">. </w:t>
      </w:r>
      <w:r w:rsidR="006A7C95" w:rsidRPr="006A7C95">
        <w:t>Este enfoque tiene como objetivo mejorar la autosuficiencia alimentaria de la familia residente en la finca Bellavista y aumentar la salud y productividad del sistema agroecológico.</w:t>
      </w:r>
      <w:r w:rsidR="002B0E25" w:rsidRPr="002B0E25">
        <w:t xml:space="preserve"> </w:t>
      </w:r>
    </w:p>
    <w:p w14:paraId="1AABD46D" w14:textId="3532E772" w:rsidR="002B0E25" w:rsidRPr="00E913D5" w:rsidRDefault="00DD3144" w:rsidP="00E913D5">
      <w:pPr>
        <w:jc w:val="center"/>
        <w:rPr>
          <w:i/>
        </w:rPr>
      </w:pPr>
      <w:r>
        <w:rPr>
          <w:i/>
          <w:noProof/>
          <w:lang w:val="en-US"/>
        </w:rPr>
        <w:lastRenderedPageBreak/>
        <w:drawing>
          <wp:inline distT="0" distB="0" distL="0" distR="0" wp14:anchorId="1E7BC888" wp14:editId="38FF54C7">
            <wp:extent cx="2800350" cy="2800350"/>
            <wp:effectExtent l="0" t="0" r="0" b="0"/>
            <wp:docPr id="9" name="Imagen 9" descr="C:\Users\Usuario\Downloads\Untitled Pro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uario\Downloads\Untitled Project.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noFill/>
                    </a:ln>
                  </pic:spPr>
                </pic:pic>
              </a:graphicData>
            </a:graphic>
          </wp:inline>
        </w:drawing>
      </w:r>
    </w:p>
    <w:p w14:paraId="5E8F1E8A" w14:textId="1850F4B6" w:rsidR="00E913D5" w:rsidRPr="00E913D5" w:rsidRDefault="00E913D5" w:rsidP="00E913D5">
      <w:pPr>
        <w:jc w:val="center"/>
      </w:pPr>
      <w:r w:rsidRPr="00E913D5">
        <w:rPr>
          <w:i/>
        </w:rPr>
        <w:t>Figura 5. Vista final del subsistema HAF en la finca Bellavista</w:t>
      </w:r>
      <w:r>
        <w:t>.</w:t>
      </w:r>
    </w:p>
    <w:p w14:paraId="3B36FEE3" w14:textId="10C2CE07" w:rsidR="006A7C95" w:rsidRDefault="006A7C95" w:rsidP="006A7C95">
      <w:pPr>
        <w:jc w:val="both"/>
      </w:pPr>
      <w:r w:rsidRPr="006A7C95">
        <w:t>El diseño del huerto incluyó una variedad de hortalizas, tales como zanahoria, cebolla, acelga, lech</w:t>
      </w:r>
      <w:r>
        <w:t>uga, espinaca, ajo y tomate (</w:t>
      </w:r>
      <w:r w:rsidRPr="006A7C95">
        <w:t xml:space="preserve">Tabla 6). Cada especie fue seleccionada por su valor alimentario y nutricional, así como por su capacidad de integración en el </w:t>
      </w:r>
      <w:proofErr w:type="spellStart"/>
      <w:r w:rsidRPr="006A7C95">
        <w:t>agroecosistema</w:t>
      </w:r>
      <w:proofErr w:type="spellEnd"/>
      <w:r w:rsidRPr="006A7C95">
        <w:t>. La intercalación de plantas aromáticas con estas hortalizas buscó mejorar la biodiversidad y optimizar el uso de recursos, maximizando la eficiencia del espacio para fomentar el crecimiento y desarrollo de las plantas.</w:t>
      </w:r>
    </w:p>
    <w:p w14:paraId="6A8177F1" w14:textId="05E848A1" w:rsidR="00F31E2D" w:rsidRPr="00F31E2D" w:rsidRDefault="00F31E2D" w:rsidP="00F31E2D">
      <w:pPr>
        <w:jc w:val="center"/>
        <w:rPr>
          <w:i/>
        </w:rPr>
      </w:pPr>
      <w:r>
        <w:rPr>
          <w:i/>
        </w:rPr>
        <w:t>Tabla 6. Distribución de las plántulas implementadas dentro del HAF.</w:t>
      </w:r>
    </w:p>
    <w:tbl>
      <w:tblPr>
        <w:tblW w:w="3960" w:type="dxa"/>
        <w:jc w:val="center"/>
        <w:tblCellMar>
          <w:left w:w="70" w:type="dxa"/>
          <w:right w:w="70" w:type="dxa"/>
        </w:tblCellMar>
        <w:tblLook w:val="04A0" w:firstRow="1" w:lastRow="0" w:firstColumn="1" w:lastColumn="0" w:noHBand="0" w:noVBand="1"/>
      </w:tblPr>
      <w:tblGrid>
        <w:gridCol w:w="1200"/>
        <w:gridCol w:w="1323"/>
        <w:gridCol w:w="1437"/>
      </w:tblGrid>
      <w:tr w:rsidR="00287570" w:rsidRPr="00287570" w14:paraId="0B6C2A35" w14:textId="77777777" w:rsidTr="00F31E2D">
        <w:trPr>
          <w:trHeight w:val="300"/>
          <w:jc w:val="center"/>
        </w:trPr>
        <w:tc>
          <w:tcPr>
            <w:tcW w:w="1200" w:type="dxa"/>
            <w:vMerge w:val="restart"/>
            <w:tcBorders>
              <w:top w:val="single" w:sz="4" w:space="0" w:color="auto"/>
              <w:left w:val="nil"/>
              <w:bottom w:val="single" w:sz="4" w:space="0" w:color="000000"/>
              <w:right w:val="nil"/>
            </w:tcBorders>
            <w:shd w:val="clear" w:color="auto" w:fill="auto"/>
            <w:noWrap/>
            <w:vAlign w:val="center"/>
            <w:hideMark/>
          </w:tcPr>
          <w:p w14:paraId="12D68D52"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No. Cama</w:t>
            </w:r>
          </w:p>
        </w:tc>
        <w:tc>
          <w:tcPr>
            <w:tcW w:w="2760" w:type="dxa"/>
            <w:gridSpan w:val="2"/>
            <w:tcBorders>
              <w:top w:val="single" w:sz="4" w:space="0" w:color="auto"/>
              <w:left w:val="nil"/>
              <w:bottom w:val="single" w:sz="4" w:space="0" w:color="auto"/>
              <w:right w:val="nil"/>
            </w:tcBorders>
            <w:shd w:val="clear" w:color="auto" w:fill="auto"/>
            <w:noWrap/>
            <w:vAlign w:val="center"/>
            <w:hideMark/>
          </w:tcPr>
          <w:p w14:paraId="4BF83092"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Plántula</w:t>
            </w:r>
          </w:p>
        </w:tc>
      </w:tr>
      <w:tr w:rsidR="00287570" w:rsidRPr="00287570" w14:paraId="21DC4512" w14:textId="77777777" w:rsidTr="00F31E2D">
        <w:trPr>
          <w:trHeight w:val="300"/>
          <w:jc w:val="center"/>
        </w:trPr>
        <w:tc>
          <w:tcPr>
            <w:tcW w:w="1200" w:type="dxa"/>
            <w:vMerge/>
            <w:tcBorders>
              <w:top w:val="nil"/>
              <w:left w:val="nil"/>
              <w:bottom w:val="single" w:sz="4" w:space="0" w:color="000000"/>
              <w:right w:val="nil"/>
            </w:tcBorders>
            <w:vAlign w:val="center"/>
            <w:hideMark/>
          </w:tcPr>
          <w:p w14:paraId="4F9BEC93" w14:textId="77777777" w:rsidR="00287570" w:rsidRPr="00287570" w:rsidRDefault="00287570" w:rsidP="00287570">
            <w:pPr>
              <w:spacing w:after="0" w:line="240" w:lineRule="auto"/>
              <w:rPr>
                <w:rFonts w:ascii="Calibri" w:eastAsia="Times New Roman" w:hAnsi="Calibri" w:cs="Times New Roman"/>
                <w:color w:val="000000"/>
                <w:lang w:eastAsia="es-CO"/>
              </w:rPr>
            </w:pPr>
          </w:p>
        </w:tc>
        <w:tc>
          <w:tcPr>
            <w:tcW w:w="1323" w:type="dxa"/>
            <w:tcBorders>
              <w:top w:val="nil"/>
              <w:left w:val="nil"/>
              <w:bottom w:val="single" w:sz="4" w:space="0" w:color="auto"/>
              <w:right w:val="nil"/>
            </w:tcBorders>
            <w:shd w:val="clear" w:color="auto" w:fill="auto"/>
            <w:noWrap/>
            <w:vAlign w:val="center"/>
            <w:hideMark/>
          </w:tcPr>
          <w:p w14:paraId="2BCF9B85"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1</w:t>
            </w:r>
          </w:p>
        </w:tc>
        <w:tc>
          <w:tcPr>
            <w:tcW w:w="1437" w:type="dxa"/>
            <w:tcBorders>
              <w:top w:val="nil"/>
              <w:left w:val="nil"/>
              <w:bottom w:val="single" w:sz="4" w:space="0" w:color="auto"/>
              <w:right w:val="nil"/>
            </w:tcBorders>
            <w:shd w:val="clear" w:color="auto" w:fill="auto"/>
            <w:noWrap/>
            <w:vAlign w:val="center"/>
            <w:hideMark/>
          </w:tcPr>
          <w:p w14:paraId="568E082B"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2</w:t>
            </w:r>
          </w:p>
        </w:tc>
      </w:tr>
      <w:tr w:rsidR="00287570" w:rsidRPr="00287570" w14:paraId="2D347FD3" w14:textId="77777777" w:rsidTr="00F31E2D">
        <w:trPr>
          <w:trHeight w:val="300"/>
          <w:jc w:val="center"/>
        </w:trPr>
        <w:tc>
          <w:tcPr>
            <w:tcW w:w="1200" w:type="dxa"/>
            <w:tcBorders>
              <w:top w:val="nil"/>
              <w:left w:val="nil"/>
              <w:bottom w:val="nil"/>
              <w:right w:val="nil"/>
            </w:tcBorders>
            <w:shd w:val="clear" w:color="auto" w:fill="auto"/>
            <w:noWrap/>
            <w:vAlign w:val="center"/>
            <w:hideMark/>
          </w:tcPr>
          <w:p w14:paraId="1A528926"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1</w:t>
            </w:r>
          </w:p>
        </w:tc>
        <w:tc>
          <w:tcPr>
            <w:tcW w:w="1323" w:type="dxa"/>
            <w:tcBorders>
              <w:top w:val="nil"/>
              <w:left w:val="nil"/>
              <w:bottom w:val="nil"/>
              <w:right w:val="nil"/>
            </w:tcBorders>
            <w:shd w:val="clear" w:color="auto" w:fill="auto"/>
            <w:noWrap/>
            <w:vAlign w:val="center"/>
            <w:hideMark/>
          </w:tcPr>
          <w:p w14:paraId="6B6446D3"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Cebolla</w:t>
            </w:r>
          </w:p>
        </w:tc>
        <w:tc>
          <w:tcPr>
            <w:tcW w:w="1437" w:type="dxa"/>
            <w:tcBorders>
              <w:top w:val="nil"/>
              <w:left w:val="nil"/>
              <w:bottom w:val="nil"/>
              <w:right w:val="nil"/>
            </w:tcBorders>
            <w:shd w:val="clear" w:color="auto" w:fill="auto"/>
            <w:noWrap/>
            <w:vAlign w:val="center"/>
            <w:hideMark/>
          </w:tcPr>
          <w:p w14:paraId="00FE0C8F"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Albahaca</w:t>
            </w:r>
          </w:p>
        </w:tc>
      </w:tr>
      <w:tr w:rsidR="00287570" w:rsidRPr="00287570" w14:paraId="361A69A6" w14:textId="77777777" w:rsidTr="00F31E2D">
        <w:trPr>
          <w:trHeight w:val="300"/>
          <w:jc w:val="center"/>
        </w:trPr>
        <w:tc>
          <w:tcPr>
            <w:tcW w:w="1200" w:type="dxa"/>
            <w:tcBorders>
              <w:top w:val="nil"/>
              <w:left w:val="nil"/>
              <w:bottom w:val="nil"/>
              <w:right w:val="nil"/>
            </w:tcBorders>
            <w:shd w:val="clear" w:color="auto" w:fill="auto"/>
            <w:noWrap/>
            <w:vAlign w:val="center"/>
            <w:hideMark/>
          </w:tcPr>
          <w:p w14:paraId="52188C22"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2</w:t>
            </w:r>
          </w:p>
        </w:tc>
        <w:tc>
          <w:tcPr>
            <w:tcW w:w="1323" w:type="dxa"/>
            <w:tcBorders>
              <w:top w:val="nil"/>
              <w:left w:val="nil"/>
              <w:bottom w:val="nil"/>
              <w:right w:val="nil"/>
            </w:tcBorders>
            <w:shd w:val="clear" w:color="auto" w:fill="auto"/>
            <w:noWrap/>
            <w:vAlign w:val="center"/>
            <w:hideMark/>
          </w:tcPr>
          <w:p w14:paraId="12C4C876"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Zanahoria</w:t>
            </w:r>
          </w:p>
        </w:tc>
        <w:tc>
          <w:tcPr>
            <w:tcW w:w="1437" w:type="dxa"/>
            <w:tcBorders>
              <w:top w:val="nil"/>
              <w:left w:val="nil"/>
              <w:bottom w:val="nil"/>
              <w:right w:val="nil"/>
            </w:tcBorders>
            <w:shd w:val="clear" w:color="auto" w:fill="auto"/>
            <w:noWrap/>
            <w:vAlign w:val="center"/>
            <w:hideMark/>
          </w:tcPr>
          <w:p w14:paraId="224B1968"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Cilantro</w:t>
            </w:r>
          </w:p>
        </w:tc>
      </w:tr>
      <w:tr w:rsidR="00287570" w:rsidRPr="00287570" w14:paraId="7087B0AA" w14:textId="77777777" w:rsidTr="00F31E2D">
        <w:trPr>
          <w:trHeight w:val="300"/>
          <w:jc w:val="center"/>
        </w:trPr>
        <w:tc>
          <w:tcPr>
            <w:tcW w:w="1200" w:type="dxa"/>
            <w:tcBorders>
              <w:top w:val="nil"/>
              <w:left w:val="nil"/>
              <w:bottom w:val="nil"/>
              <w:right w:val="nil"/>
            </w:tcBorders>
            <w:shd w:val="clear" w:color="auto" w:fill="auto"/>
            <w:noWrap/>
            <w:vAlign w:val="center"/>
            <w:hideMark/>
          </w:tcPr>
          <w:p w14:paraId="2E53C7FE"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3</w:t>
            </w:r>
          </w:p>
        </w:tc>
        <w:tc>
          <w:tcPr>
            <w:tcW w:w="1323" w:type="dxa"/>
            <w:tcBorders>
              <w:top w:val="nil"/>
              <w:left w:val="nil"/>
              <w:bottom w:val="nil"/>
              <w:right w:val="nil"/>
            </w:tcBorders>
            <w:shd w:val="clear" w:color="auto" w:fill="auto"/>
            <w:noWrap/>
            <w:vAlign w:val="center"/>
            <w:hideMark/>
          </w:tcPr>
          <w:p w14:paraId="5F2C2813"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Acelga</w:t>
            </w:r>
          </w:p>
        </w:tc>
        <w:tc>
          <w:tcPr>
            <w:tcW w:w="1437" w:type="dxa"/>
            <w:tcBorders>
              <w:top w:val="nil"/>
              <w:left w:val="nil"/>
              <w:bottom w:val="nil"/>
              <w:right w:val="nil"/>
            </w:tcBorders>
            <w:shd w:val="clear" w:color="auto" w:fill="auto"/>
            <w:noWrap/>
            <w:vAlign w:val="center"/>
            <w:hideMark/>
          </w:tcPr>
          <w:p w14:paraId="3C0A41B6"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Orégano</w:t>
            </w:r>
          </w:p>
        </w:tc>
      </w:tr>
      <w:tr w:rsidR="00287570" w:rsidRPr="00287570" w14:paraId="4ACF00FC" w14:textId="77777777" w:rsidTr="00F31E2D">
        <w:trPr>
          <w:trHeight w:val="300"/>
          <w:jc w:val="center"/>
        </w:trPr>
        <w:tc>
          <w:tcPr>
            <w:tcW w:w="1200" w:type="dxa"/>
            <w:tcBorders>
              <w:top w:val="nil"/>
              <w:left w:val="nil"/>
              <w:bottom w:val="nil"/>
              <w:right w:val="nil"/>
            </w:tcBorders>
            <w:shd w:val="clear" w:color="auto" w:fill="auto"/>
            <w:noWrap/>
            <w:vAlign w:val="center"/>
            <w:hideMark/>
          </w:tcPr>
          <w:p w14:paraId="209169E3"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4</w:t>
            </w:r>
          </w:p>
        </w:tc>
        <w:tc>
          <w:tcPr>
            <w:tcW w:w="1323" w:type="dxa"/>
            <w:tcBorders>
              <w:top w:val="nil"/>
              <w:left w:val="nil"/>
              <w:bottom w:val="nil"/>
              <w:right w:val="nil"/>
            </w:tcBorders>
            <w:shd w:val="clear" w:color="auto" w:fill="auto"/>
            <w:noWrap/>
            <w:vAlign w:val="center"/>
            <w:hideMark/>
          </w:tcPr>
          <w:p w14:paraId="0597F452"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Espinaca</w:t>
            </w:r>
          </w:p>
        </w:tc>
        <w:tc>
          <w:tcPr>
            <w:tcW w:w="1437" w:type="dxa"/>
            <w:tcBorders>
              <w:top w:val="nil"/>
              <w:left w:val="nil"/>
              <w:bottom w:val="nil"/>
              <w:right w:val="nil"/>
            </w:tcBorders>
            <w:shd w:val="clear" w:color="auto" w:fill="auto"/>
            <w:noWrap/>
            <w:vAlign w:val="center"/>
            <w:hideMark/>
          </w:tcPr>
          <w:p w14:paraId="3184B2E0"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Manzanilla</w:t>
            </w:r>
          </w:p>
        </w:tc>
      </w:tr>
      <w:tr w:rsidR="00287570" w:rsidRPr="00287570" w14:paraId="71AAB2F9" w14:textId="77777777" w:rsidTr="00F31E2D">
        <w:trPr>
          <w:trHeight w:val="300"/>
          <w:jc w:val="center"/>
        </w:trPr>
        <w:tc>
          <w:tcPr>
            <w:tcW w:w="1200" w:type="dxa"/>
            <w:tcBorders>
              <w:top w:val="nil"/>
              <w:left w:val="nil"/>
              <w:bottom w:val="nil"/>
              <w:right w:val="nil"/>
            </w:tcBorders>
            <w:shd w:val="clear" w:color="auto" w:fill="auto"/>
            <w:noWrap/>
            <w:vAlign w:val="center"/>
            <w:hideMark/>
          </w:tcPr>
          <w:p w14:paraId="02659393"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5</w:t>
            </w:r>
          </w:p>
        </w:tc>
        <w:tc>
          <w:tcPr>
            <w:tcW w:w="1323" w:type="dxa"/>
            <w:tcBorders>
              <w:top w:val="nil"/>
              <w:left w:val="nil"/>
              <w:bottom w:val="nil"/>
              <w:right w:val="nil"/>
            </w:tcBorders>
            <w:shd w:val="clear" w:color="auto" w:fill="auto"/>
            <w:noWrap/>
            <w:vAlign w:val="center"/>
            <w:hideMark/>
          </w:tcPr>
          <w:p w14:paraId="0DDB2195"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Lechuga</w:t>
            </w:r>
          </w:p>
        </w:tc>
        <w:tc>
          <w:tcPr>
            <w:tcW w:w="1437" w:type="dxa"/>
            <w:tcBorders>
              <w:top w:val="nil"/>
              <w:left w:val="nil"/>
              <w:bottom w:val="nil"/>
              <w:right w:val="nil"/>
            </w:tcBorders>
            <w:shd w:val="clear" w:color="auto" w:fill="auto"/>
            <w:noWrap/>
            <w:vAlign w:val="center"/>
            <w:hideMark/>
          </w:tcPr>
          <w:p w14:paraId="2AA406EE"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Ajo</w:t>
            </w:r>
          </w:p>
        </w:tc>
      </w:tr>
      <w:tr w:rsidR="00287570" w:rsidRPr="00287570" w14:paraId="6C7AD6C5" w14:textId="77777777" w:rsidTr="00F31E2D">
        <w:trPr>
          <w:trHeight w:val="300"/>
          <w:jc w:val="center"/>
        </w:trPr>
        <w:tc>
          <w:tcPr>
            <w:tcW w:w="1200" w:type="dxa"/>
            <w:tcBorders>
              <w:top w:val="nil"/>
              <w:left w:val="nil"/>
              <w:bottom w:val="single" w:sz="4" w:space="0" w:color="auto"/>
              <w:right w:val="nil"/>
            </w:tcBorders>
            <w:shd w:val="clear" w:color="auto" w:fill="auto"/>
            <w:noWrap/>
            <w:vAlign w:val="center"/>
            <w:hideMark/>
          </w:tcPr>
          <w:p w14:paraId="3CA0E47B"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6</w:t>
            </w:r>
          </w:p>
        </w:tc>
        <w:tc>
          <w:tcPr>
            <w:tcW w:w="1323" w:type="dxa"/>
            <w:tcBorders>
              <w:top w:val="nil"/>
              <w:left w:val="nil"/>
              <w:bottom w:val="single" w:sz="4" w:space="0" w:color="auto"/>
              <w:right w:val="nil"/>
            </w:tcBorders>
            <w:shd w:val="clear" w:color="auto" w:fill="auto"/>
            <w:noWrap/>
            <w:vAlign w:val="center"/>
            <w:hideMark/>
          </w:tcPr>
          <w:p w14:paraId="036A1D6D"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Tomate</w:t>
            </w:r>
          </w:p>
        </w:tc>
        <w:tc>
          <w:tcPr>
            <w:tcW w:w="1437" w:type="dxa"/>
            <w:tcBorders>
              <w:top w:val="nil"/>
              <w:left w:val="nil"/>
              <w:bottom w:val="single" w:sz="4" w:space="0" w:color="auto"/>
              <w:right w:val="nil"/>
            </w:tcBorders>
            <w:shd w:val="clear" w:color="auto" w:fill="auto"/>
            <w:noWrap/>
            <w:vAlign w:val="center"/>
            <w:hideMark/>
          </w:tcPr>
          <w:p w14:paraId="18F790CD" w14:textId="77777777" w:rsidR="00287570" w:rsidRPr="00287570" w:rsidRDefault="00287570" w:rsidP="00287570">
            <w:pPr>
              <w:spacing w:after="0" w:line="240" w:lineRule="auto"/>
              <w:jc w:val="center"/>
              <w:rPr>
                <w:rFonts w:ascii="Calibri" w:eastAsia="Times New Roman" w:hAnsi="Calibri" w:cs="Times New Roman"/>
                <w:color w:val="000000"/>
                <w:lang w:eastAsia="es-CO"/>
              </w:rPr>
            </w:pPr>
            <w:r w:rsidRPr="00287570">
              <w:rPr>
                <w:rFonts w:ascii="Calibri" w:eastAsia="Times New Roman" w:hAnsi="Calibri" w:cs="Times New Roman"/>
                <w:color w:val="000000"/>
                <w:lang w:eastAsia="es-CO"/>
              </w:rPr>
              <w:t>Apio</w:t>
            </w:r>
          </w:p>
        </w:tc>
      </w:tr>
    </w:tbl>
    <w:p w14:paraId="2E9FEEC2" w14:textId="30B5A475" w:rsidR="002B0E25" w:rsidRDefault="002B0E25" w:rsidP="002B0E25">
      <w:pPr>
        <w:jc w:val="both"/>
      </w:pPr>
    </w:p>
    <w:p w14:paraId="4372F631" w14:textId="2280AA9A" w:rsidR="00E913D5" w:rsidRDefault="00E913D5" w:rsidP="00E913D5">
      <w:pPr>
        <w:jc w:val="center"/>
      </w:pPr>
    </w:p>
    <w:p w14:paraId="0B5CF729" w14:textId="0A02AFEB" w:rsidR="003B0E13" w:rsidRDefault="003B0E13" w:rsidP="003B0E13">
      <w:pPr>
        <w:ind w:firstLine="708"/>
      </w:pPr>
      <w:r>
        <w:t>4.2. Subsistema agroforestal (SAF)</w:t>
      </w:r>
    </w:p>
    <w:p w14:paraId="08208423" w14:textId="16AEB7C2" w:rsidR="006A7C95" w:rsidRDefault="007B32AD" w:rsidP="006A7C95">
      <w:pPr>
        <w:jc w:val="both"/>
      </w:pPr>
      <w:r>
        <w:t xml:space="preserve">Para el diseño del SAF, </w:t>
      </w:r>
      <w:r w:rsidR="006A7C95" w:rsidRPr="006A7C95">
        <w:t xml:space="preserve">se adoptaron varias estrategias para mejorar las condiciones del suelo y crear un entorno favorable para los cultivos. Se aplicaron abonos orgánicos como </w:t>
      </w:r>
      <w:proofErr w:type="spellStart"/>
      <w:r w:rsidR="006A7C95" w:rsidRPr="006A7C95">
        <w:t>bocashi</w:t>
      </w:r>
      <w:proofErr w:type="spellEnd"/>
      <w:r w:rsidR="006A7C95" w:rsidRPr="006A7C95">
        <w:t>, humus y compost para recuperar y mejorar la estructura del suelo, aumentar su contenido de materia orgánica y fomentar la actividad biológica, enriqueciendo así el suelo y haciéndolo más fértil y saludable para los cultivos. Además, se implementó una barrera viva con la especie arbórea melina (</w:t>
      </w:r>
      <w:proofErr w:type="spellStart"/>
      <w:r w:rsidR="006A7C95" w:rsidRPr="006A7C95">
        <w:t>Gmelina</w:t>
      </w:r>
      <w:proofErr w:type="spellEnd"/>
      <w:r w:rsidR="006A7C95" w:rsidRPr="006A7C95">
        <w:t xml:space="preserve"> </w:t>
      </w:r>
      <w:proofErr w:type="spellStart"/>
      <w:r w:rsidR="006A7C95" w:rsidRPr="006A7C95">
        <w:t>arborea</w:t>
      </w:r>
      <w:proofErr w:type="spellEnd"/>
      <w:r w:rsidR="006A7C95" w:rsidRPr="006A7C95">
        <w:t xml:space="preserve">), seleccionada por sus beneficios para el suelo y el entorno, como la mejora de la </w:t>
      </w:r>
      <w:r w:rsidR="006A7C95" w:rsidRPr="006A7C95">
        <w:lastRenderedPageBreak/>
        <w:t>calidad del suelo y el fomento de un ambiente favorable para los cu</w:t>
      </w:r>
      <w:r w:rsidR="006A7C95">
        <w:t xml:space="preserve">ltivos. También se incorporaron </w:t>
      </w:r>
      <w:r w:rsidR="006A7C95" w:rsidRPr="006A7C95">
        <w:t>leguminosas como frijol y lenteja, debido a sus beneficios adicionales.</w:t>
      </w:r>
    </w:p>
    <w:p w14:paraId="222E87DD" w14:textId="650EAFF4" w:rsidR="00077C70" w:rsidRDefault="00633CE7" w:rsidP="006A7C95">
      <w:pPr>
        <w:jc w:val="center"/>
      </w:pPr>
      <w:r>
        <w:rPr>
          <w:noProof/>
          <w:lang w:val="en-US"/>
        </w:rPr>
        <w:drawing>
          <wp:inline distT="0" distB="0" distL="0" distR="0" wp14:anchorId="72A65FE3" wp14:editId="7E2D790D">
            <wp:extent cx="3295650" cy="3295650"/>
            <wp:effectExtent l="0" t="0" r="0" b="0"/>
            <wp:docPr id="10" name="Imagen 10" descr="C:\Users\Usuario\Downloads\Untitled Projec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Downloads\Untitled Project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3295650"/>
                    </a:xfrm>
                    <a:prstGeom prst="rect">
                      <a:avLst/>
                    </a:prstGeom>
                    <a:noFill/>
                    <a:ln>
                      <a:noFill/>
                    </a:ln>
                  </pic:spPr>
                </pic:pic>
              </a:graphicData>
            </a:graphic>
          </wp:inline>
        </w:drawing>
      </w:r>
    </w:p>
    <w:p w14:paraId="7F4F49B4" w14:textId="42E884A0" w:rsidR="00077C70" w:rsidRPr="00077C70" w:rsidRDefault="00077C70" w:rsidP="00077C70">
      <w:pPr>
        <w:jc w:val="center"/>
        <w:rPr>
          <w:i/>
        </w:rPr>
      </w:pPr>
      <w:r w:rsidRPr="00077C70">
        <w:rPr>
          <w:i/>
        </w:rPr>
        <w:t>Figura 6. Proceso de adecuación e implementación del Sistema Agroforestal (SAF) en la finca Bellavista</w:t>
      </w:r>
    </w:p>
    <w:p w14:paraId="048E71E5" w14:textId="618FF11C" w:rsidR="006C256D" w:rsidRDefault="003B0E13">
      <w:pPr>
        <w:jc w:val="both"/>
      </w:pPr>
      <w:r>
        <w:tab/>
        <w:t>4.3. Abonos orgánicos</w:t>
      </w:r>
    </w:p>
    <w:p w14:paraId="04A190BC" w14:textId="77777777" w:rsidR="006A7C95" w:rsidRDefault="006A7C95" w:rsidP="00B357AD">
      <w:pPr>
        <w:jc w:val="both"/>
      </w:pPr>
      <w:r w:rsidRPr="006A7C95">
        <w:t xml:space="preserve">Se elaboró abono </w:t>
      </w:r>
      <w:proofErr w:type="spellStart"/>
      <w:r w:rsidRPr="006A7C95">
        <w:t>bocashi</w:t>
      </w:r>
      <w:proofErr w:type="spellEnd"/>
      <w:r w:rsidRPr="006A7C95">
        <w:t xml:space="preserve"> en colaboración con el productor, destacando su papel en aumentar la materia orgánica del suelo. Este abono fue elegido por su capacidad para enriquecer el suelo de manera natural, en lugar de utilizar productos sintéticos. También se produjo compost para mejorar la fertilidad del suelo mediante la descomposición de residuos orgánicos. Además, se estableció un sistema de </w:t>
      </w:r>
      <w:proofErr w:type="spellStart"/>
      <w:r w:rsidRPr="006A7C95">
        <w:t>lombricultura</w:t>
      </w:r>
      <w:proofErr w:type="spellEnd"/>
      <w:r w:rsidRPr="006A7C95">
        <w:t xml:space="preserve"> cerca de los otros métodos de abono para facilitar su uso, optimizando el manejo de residuos orgánicos y la producción de humus de lombriz.</w:t>
      </w:r>
    </w:p>
    <w:p w14:paraId="726600FF" w14:textId="66DE4186" w:rsidR="006A7C95" w:rsidRDefault="006A7C95" w:rsidP="006A7C95">
      <w:pPr>
        <w:jc w:val="both"/>
      </w:pPr>
      <w:r>
        <w:t xml:space="preserve">Como parte de las estrategias para mejorar la sostenibilidad del sistema agroecológico, se implementó una </w:t>
      </w:r>
      <w:proofErr w:type="spellStart"/>
      <w:r>
        <w:t>biofábrica</w:t>
      </w:r>
      <w:proofErr w:type="spellEnd"/>
      <w:r>
        <w:t xml:space="preserve"> que utiliza insumos orgánicos, incluidos </w:t>
      </w:r>
      <w:proofErr w:type="spellStart"/>
      <w:r>
        <w:t>biopreparados</w:t>
      </w:r>
      <w:proofErr w:type="spellEnd"/>
      <w:r>
        <w:t xml:space="preserve">, para proporcionar nutrientes esenciales como nitrógeno, fósforo y potasio. La </w:t>
      </w:r>
      <w:proofErr w:type="spellStart"/>
      <w:r>
        <w:t>biofábrica</w:t>
      </w:r>
      <w:proofErr w:type="spellEnd"/>
      <w:r>
        <w:t xml:space="preserve"> permite la preparación de fertilizantes orgánicos y reduce la necesidad de productos químicos sintéticos, promoviendo un enfoque más ecológico y sostenible en la gestión del sistema.</w:t>
      </w:r>
    </w:p>
    <w:p w14:paraId="4E412861" w14:textId="3658D76A" w:rsidR="006A7C95" w:rsidRDefault="006A7C95" w:rsidP="006A7C95"/>
    <w:p w14:paraId="66E1FC16" w14:textId="73A8B7B6" w:rsidR="002B7B88" w:rsidRDefault="00DD3144" w:rsidP="00077C70">
      <w:pPr>
        <w:jc w:val="center"/>
      </w:pPr>
      <w:r>
        <w:rPr>
          <w:noProof/>
          <w:lang w:val="en-US"/>
        </w:rPr>
        <w:lastRenderedPageBreak/>
        <w:drawing>
          <wp:inline distT="0" distB="0" distL="0" distR="0" wp14:anchorId="648D9013" wp14:editId="7A213DE4">
            <wp:extent cx="3781425" cy="3781425"/>
            <wp:effectExtent l="0" t="0" r="9525" b="9525"/>
            <wp:docPr id="8" name="Imagen 8" descr="C:\Users\Usuario\Downloads\Ab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Downloads\Abon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81425" cy="3781425"/>
                    </a:xfrm>
                    <a:prstGeom prst="rect">
                      <a:avLst/>
                    </a:prstGeom>
                    <a:noFill/>
                    <a:ln>
                      <a:noFill/>
                    </a:ln>
                  </pic:spPr>
                </pic:pic>
              </a:graphicData>
            </a:graphic>
          </wp:inline>
        </w:drawing>
      </w:r>
    </w:p>
    <w:p w14:paraId="784957A7" w14:textId="181AB85A" w:rsidR="00077C70" w:rsidRPr="00077C70" w:rsidRDefault="00077C70" w:rsidP="00077C70">
      <w:pPr>
        <w:jc w:val="center"/>
        <w:rPr>
          <w:i/>
        </w:rPr>
      </w:pPr>
      <w:r w:rsidRPr="00077C70">
        <w:rPr>
          <w:i/>
        </w:rPr>
        <w:t xml:space="preserve">Figura 7. Abonos orgánicos implementados </w:t>
      </w:r>
      <w:r w:rsidR="00DD3144">
        <w:rPr>
          <w:i/>
        </w:rPr>
        <w:t xml:space="preserve">y adecuados </w:t>
      </w:r>
      <w:r w:rsidRPr="00077C70">
        <w:rPr>
          <w:i/>
        </w:rPr>
        <w:t>en la finca Bellavista con la participación del productor</w:t>
      </w:r>
    </w:p>
    <w:p w14:paraId="5BE53562" w14:textId="77777777" w:rsidR="00077C70" w:rsidRDefault="00077C70">
      <w:pPr>
        <w:jc w:val="both"/>
      </w:pPr>
    </w:p>
    <w:p w14:paraId="2621D19D" w14:textId="0FE245C7" w:rsidR="00D130A5" w:rsidRPr="00DE13A5" w:rsidRDefault="002B7B88">
      <w:pPr>
        <w:jc w:val="both"/>
        <w:rPr>
          <w:b/>
        </w:rPr>
      </w:pPr>
      <w:r>
        <w:rPr>
          <w:b/>
        </w:rPr>
        <w:t>DISCUSIÓN</w:t>
      </w:r>
    </w:p>
    <w:p w14:paraId="78E6600A" w14:textId="792B1581" w:rsidR="00D24E95" w:rsidRDefault="00D24E95">
      <w:pPr>
        <w:jc w:val="both"/>
      </w:pPr>
      <w:r w:rsidRPr="00D24E95">
        <w:t xml:space="preserve">Los sistemas agroecológicos integran principios ecológicos para crear sistemas agrícolas sostenibles y </w:t>
      </w:r>
      <w:proofErr w:type="spellStart"/>
      <w:r w:rsidRPr="00D24E95">
        <w:t>resilientes</w:t>
      </w:r>
      <w:proofErr w:type="spellEnd"/>
      <w:r w:rsidRPr="00D24E95">
        <w:t xml:space="preserve">. Según </w:t>
      </w:r>
      <w:proofErr w:type="spellStart"/>
      <w:r w:rsidRPr="0066271A">
        <w:t>Altieri</w:t>
      </w:r>
      <w:proofErr w:type="spellEnd"/>
      <w:r w:rsidRPr="0066271A">
        <w:t xml:space="preserve"> &amp; </w:t>
      </w:r>
      <w:proofErr w:type="spellStart"/>
      <w:r w:rsidRPr="0066271A">
        <w:t>Nicholls</w:t>
      </w:r>
      <w:proofErr w:type="spellEnd"/>
      <w:r w:rsidRPr="0066271A">
        <w:t xml:space="preserve"> (2000</w:t>
      </w:r>
      <w:r w:rsidRPr="00D24E95">
        <w:t xml:space="preserve">), la agroecología estudia la agricultura desde una perspectiva ecológica, considerando los aspectos ecológicos, sociales y económicos del entorno campesino. Este enfoque participativo y </w:t>
      </w:r>
      <w:proofErr w:type="spellStart"/>
      <w:r w:rsidRPr="00D24E95">
        <w:t>transdisciplinario</w:t>
      </w:r>
      <w:proofErr w:type="spellEnd"/>
      <w:r w:rsidRPr="00D24E95">
        <w:t xml:space="preserve"> no solo conserva la naturaleza, sino que también promueve la producción de alimentos de calidad</w:t>
      </w:r>
      <w:r>
        <w:t xml:space="preserve"> </w:t>
      </w:r>
      <w:r>
        <w:fldChar w:fldCharType="begin" w:fldLock="1"/>
      </w:r>
      <w:r w:rsidR="00007BE0">
        <w:instrText>ADDIN CSL_CITATION {"citationItems":[{"id":"ITEM-1","itemData":{"author":[{"dropping-particle":"","family":"Altieri","given":"Miguel","non-dropping-particle":"","parse-names":false,"suffix":""},{"dropping-particle":"","family":"Koohafkan","given":"Parviz","non-dropping-particle":"","parse-names":false,"suffix":""},{"dropping-particle":"","family":"Holt Gimenez","given":"Eric","non-dropping-particle":"","parse-names":false,"suffix":""}],"container-title":"Agroecología","id":"ITEM-1","issued":{"date-parts":[["2012"]]},"page":"7-18","title":"Fundamentos agroecológicos para diseñar sistemas agrícolas biodiversos, resilientes y productivos","type":"article-journal","volume":"7"},"uris":["http://www.mendeley.com/documents/?uuid=d523cf65-cc65-33cd-b576-bc52e5daabc8"]}],"mendeley":{"formattedCitation":"(Altieri et al., 2012)","plainTextFormattedCitation":"(Altieri et al., 2012)","previouslyFormattedCitation":"(Altieri et al., 2012)"},"properties":{"noteIndex":0},"schema":"https://github.com/citation-style-language/schema/raw/master/csl-citation.json"}</w:instrText>
      </w:r>
      <w:r>
        <w:fldChar w:fldCharType="separate"/>
      </w:r>
      <w:r w:rsidR="006F21E6" w:rsidRPr="006F21E6">
        <w:rPr>
          <w:noProof/>
        </w:rPr>
        <w:t>(Altieri et al., 2012)</w:t>
      </w:r>
      <w:r>
        <w:fldChar w:fldCharType="end"/>
      </w:r>
      <w:r w:rsidRPr="00D24E95">
        <w:t>. Además, la agroecología fomenta la conservación y uso eficiente de los recursos naturales, mejora la biodiversidad funcional y la salud del suelo, contribuyendo así a la sostenibilidad y resiliencia de los sistemas agrícolas</w:t>
      </w:r>
      <w:r>
        <w:t xml:space="preserve"> </w:t>
      </w:r>
      <w:r>
        <w:fldChar w:fldCharType="begin" w:fldLock="1"/>
      </w:r>
      <w:r>
        <w:instrText>ADDIN CSL_CITATION {"citationItems":[{"id":"ITEM-1","itemData":{"URL":"https://www.fao.org/agroecology/overview/agroecology-and-the-sustainable-development-goals/es/","accessed":{"date-parts":[["2024","9","9"]]},"author":[{"dropping-particle":"","family":"FAO","given":"","non-dropping-particle":"","parse-names":false,"suffix":""}],"id":"ITEM-1","issued":{"date-parts":[["2024"]]},"title":"La agroecología y los Objetivos de Desarrollo Sostenible","type":"webpage"},"uris":["http://www.mendeley.com/documents/?uuid=93571280-397c-3818-9389-952c1d4b6253"]},{"id":"ITEM-2","itemData":{"ISSN":"18538665","author":[{"dropping-particle":"","family":"Tonolli","given":"Alejandro","non-dropping-particle":"","parse-names":false,"suffix":""},{"dropping-particle":"","family":"Sarandón","given":"Santiago","non-dropping-particle":"","parse-names":false,"suffix":""},{"dropping-particle":"","family":"Greco","given":"Silvina","non-dropping-particle":"","parse-names":false,"suffix":""}],"container-title":"Revista de la Facultad de Ciencias Agrarias","id":"ITEM-2","issue":"1","issued":{"date-parts":[["2019"]]},"page":"208-212","title":"Algunos aspectos emergentes y de importancia para la construcción del enfoque agroecológico","type":"article-journal","volume":"51"},"uris":["http://www.mendeley.com/documents/?uuid=c48663d2-fda7-4a7a-ab20-f3d4fd682e3f"]}],"mendeley":{"formattedCitation":"(FAO, 2024; Tonolli et al., 2019)","plainTextFormattedCitation":"(FAO, 2024; Tonolli et al., 2019)","previouslyFormattedCitation":"(FAO, 2024; Tonolli et al., 2019)"},"properties":{"noteIndex":0},"schema":"https://github.com/citation-style-language/schema/raw/master/csl-citation.json"}</w:instrText>
      </w:r>
      <w:r>
        <w:fldChar w:fldCharType="separate"/>
      </w:r>
      <w:r w:rsidRPr="00D24E95">
        <w:rPr>
          <w:noProof/>
        </w:rPr>
        <w:t>(FAO, 2024; Tonolli et al., 2019)</w:t>
      </w:r>
      <w:r>
        <w:fldChar w:fldCharType="end"/>
      </w:r>
      <w:r>
        <w:t>.</w:t>
      </w:r>
    </w:p>
    <w:p w14:paraId="3D0B24CA" w14:textId="0E9CC154" w:rsidR="00D822B3" w:rsidRDefault="006819A1">
      <w:pPr>
        <w:jc w:val="both"/>
      </w:pPr>
      <w:r w:rsidRPr="006819A1">
        <w:t>La agroecología reconoce y valora las experiencias y conocimientos de los productores locales, considerándolos un pilar fundamental para la implementación y aplicación de esta ciencia</w:t>
      </w:r>
      <w:r>
        <w:t xml:space="preserve"> </w:t>
      </w:r>
      <w:r w:rsidR="00B068D0">
        <w:fldChar w:fldCharType="begin" w:fldLock="1"/>
      </w:r>
      <w:r w:rsidR="00D24E95">
        <w:instrText>ADDIN CSL_CITATION {"citationItems":[{"id":"ITEM-1","itemData":{"abstract":"La tragedia provocada por la agricultura industrial no solo se mide por la contaminación generada por los agroquímicos que utiliza (fertilizantes, fungicidas, herbicidas, insecticidas), por la radical transformación de los hábitat originales convertidos en «pisos de fábrica» para los monótonos cultivos de una sola especie, por la dilapidación de agua, suelos y energía, por la erosión de la diversidad genética a consecuencia del uso de unas cuantas variedades mejoradas, por el incremento del riesgo a causa de los organismos transgénicos, o por la generación de alimentos peligrosos e insanos; también se distingue por un impacto cultural de incalculables consecuencias: la destrucción de la memoria tradicional representada por los saberes acumulados durante por lo menos 10.000 años de interacción entre la sociedad humana y la naturaleza. En efecto, hija legítima de la revolución industrial, engendrada en los recintos más ortodoxos de la ciencia moderna, la agricultura industrializada se ha impuesto por buena parte de los rincones del mundo pasando por encima de los conocimientos locales, los cuales son visualizados como atrasados, arcaicos, primitivos o inútiles. Esta exclusión, que arrasa literalmente con la memoria de la especie humana en cuanto a sus relaciones históricas con la naturaleza, no hace más que confirmar uno de los rasgos de la modernidad industrial: su desdén, e incluso su irritación, por todo aquello considerado como tradicional. No en balde la ideología del «progreso», el «desarrollo» o la «modernización», erigida en mito supremo, se funda en la supuesta superioridad de lo «moderno», el mercado y la tecnología y ciencia contemporáneas, sobre lo «tradicional». En consecuencia, el mundo moderno es un mundo que tiende a quedarse sin memoria, un mundo amenazado por la amnesia. Es dentro del panorama anterior donde destaca el valioso trabajo de rescate realizado por ese ejército de estudiosos de las culturas tradicionales actuales y, especialmente, de aquellos dedicados a documentar, analizar y revalorar los conocimientos premodernos sobre la naturaleza, un esfuerzo de contracorriente intelectual que ha crecido durante las últimas cuatro décadas. Estos estudios se han centrado en el análisis de ese cúmulo de saberes, no científicos, que existen en la mente de los productores rurales (agricultores, pastores, pescadores, ganaderos, cazadores, recolectores) y que han servido durante milenios para que la especie humana se apropie de los bienes y se…","author":[{"dropping-particle":"","family":"Toledo","given":"Víctor M","non-dropping-particle":"","parse-names":false,"suffix":""}],"container-title":"LEISA Revista de Agroecología","id":"ITEM-1","issued":{"date-parts":[["2005"]]},"page":"17-19","title":"La memoria tradicional: la importancia agroecológica de los saberes locales","type":"article-journal"},"uris":["http://www.mendeley.com/documents/?uuid=33edb510-7606-4ac5-8e9a-0f3bc79f2d43"]}],"mendeley":{"formattedCitation":"(Toledo, 2005)","plainTextFormattedCitation":"(Toledo, 2005)","previouslyFormattedCitation":"(Toledo, 2005)"},"properties":{"noteIndex":0},"schema":"https://github.com/citation-style-language/schema/raw/master/csl-citation.json"}</w:instrText>
      </w:r>
      <w:r w:rsidR="00B068D0">
        <w:fldChar w:fldCharType="separate"/>
      </w:r>
      <w:r w:rsidR="00B068D0" w:rsidRPr="00B068D0">
        <w:rPr>
          <w:noProof/>
        </w:rPr>
        <w:t>(Toledo, 2005)</w:t>
      </w:r>
      <w:r w:rsidR="00B068D0">
        <w:fldChar w:fldCharType="end"/>
      </w:r>
      <w:r w:rsidR="0006321F">
        <w:t xml:space="preserve">. </w:t>
      </w:r>
      <w:r w:rsidRPr="006819A1">
        <w:t>Estos conocimientos son cruciales para el sistema agroecológico, ya que están estrechamente relacionados con las prácticas y estrategias empleadas</w:t>
      </w:r>
      <w:r w:rsidR="00F97C09">
        <w:t xml:space="preserve"> </w:t>
      </w:r>
      <w:r w:rsidR="00F97C09">
        <w:fldChar w:fldCharType="begin" w:fldLock="1"/>
      </w:r>
      <w:r w:rsidR="00D84709">
        <w:instrText>ADDIN CSL_CITATION {"citationItems":[{"id":"ITEM-1","itemData":{"abstract":"Fil: Iermanó, María José. Universidad Nacional de La Plata. Facultad de Ciencias Agrarias y Forestales. Departamento de Ambiente y Recursos Naturales. Cátedra de Agroecología; Argentina. Instituto Nacional de Tecnología Agropecuaria. Centro Regional Corrientes. Estación Experimental Agropecuaria Bella Vista; Argentina. Consejo Nacional de Investigaciones Científicas y Técnicas. Centro Científico Tecnológico Conicet - Nordeste; Argentina","author":[{"dropping-particle":"","family":"Iermanó","given":"María","non-dropping-particle":"","parse-names":false,"suffix":""},{"dropping-particle":"","family":"Sarandón","given":"Santiago","non-dropping-particle":"","parse-names":false,"suffix":""}],"container-title":"Revista Brasileira de Agroecologia","id":"ITEM-1","issue":"2","issued":{"date-parts":[["2016"]]},"page":"94-103","title":"Rol de la agrobiodiversidad en sistemas mixtos familiares de agricultura y ganadería pastoril en la región pampeana argentina: su importancia para la sustentabilidad de los agroecosistemas.","type":"article-journal","volume":"11"},"uris":["http://www.mendeley.com/documents/?uuid=52bde9cd-e3c0-43c2-9e8f-5661fc76b255"]}],"mendeley":{"formattedCitation":"(Iermanó &amp; Sarandón, 2016)","plainTextFormattedCitation":"(Iermanó &amp; Sarandón, 2016)","previouslyFormattedCitation":"(Iermanó &amp; Sarandón, 2016)"},"properties":{"noteIndex":0},"schema":"https://github.com/citation-style-language/schema/raw/master/csl-citation.json"}</w:instrText>
      </w:r>
      <w:r w:rsidR="00F97C09">
        <w:fldChar w:fldCharType="separate"/>
      </w:r>
      <w:r w:rsidR="00F97C09" w:rsidRPr="00F97C09">
        <w:rPr>
          <w:noProof/>
        </w:rPr>
        <w:t>(Iermanó &amp; Sarandón, 2016)</w:t>
      </w:r>
      <w:r w:rsidR="00F97C09">
        <w:fldChar w:fldCharType="end"/>
      </w:r>
      <w:r w:rsidR="00D84709">
        <w:t xml:space="preserve">. </w:t>
      </w:r>
      <w:r w:rsidRPr="006819A1">
        <w:t xml:space="preserve">Además, la agroecología se caracteriza por su enfoque holístico y sistémico, </w:t>
      </w:r>
      <w:r w:rsidR="00B00D40">
        <w:t>ya que abarca</w:t>
      </w:r>
      <w:r w:rsidRPr="006819A1">
        <w:t xml:space="preserve"> todos los elementos del sistema agrícola y sus interacciones. En este contexto, el productor desempeña un papel central, aportando su conocimiento empírico y participando en la toma de decisiones, lo que refuerza su importancia dentro del sistema</w:t>
      </w:r>
      <w:r w:rsidR="00D84709">
        <w:t xml:space="preserve"> </w:t>
      </w:r>
      <w:r w:rsidR="00D84709">
        <w:fldChar w:fldCharType="begin" w:fldLock="1"/>
      </w:r>
      <w:r w:rsidR="00EF2216">
        <w:instrText>ADDIN CSL_CITATION {"citationItems":[{"id":"ITEM-1","itemData":{"author":[{"dropping-particle":"","family":"Sarandón","given":"Santiago","non-dropping-particle":"","parse-names":false,"suffix":""}],"container-title":"Ciencia Tecnología y Política","id":"ITEM-1","issue":"6","issued":{"date-parts":[["2021"]]},"page":"0-10","title":"Agroecología: una revolución del pensamiento en las ciencias agrarias","type":"article-journal","volume":"4"},"uris":["http://www.mendeley.com/documents/?uuid=53697ff8-776a-45df-b1d1-b35ab4715693"]}],"mendeley":{"formattedCitation":"(Sarandón, 2021)","plainTextFormattedCitation":"(Sarandón, 2021)","previouslyFormattedCitation":"(Sarandón, 2021)"},"properties":{"noteIndex":0},"schema":"https://github.com/citation-style-language/schema/raw/master/csl-citation.json"}</w:instrText>
      </w:r>
      <w:r w:rsidR="00D84709">
        <w:fldChar w:fldCharType="separate"/>
      </w:r>
      <w:r w:rsidR="00D84709" w:rsidRPr="00D84709">
        <w:rPr>
          <w:noProof/>
        </w:rPr>
        <w:t>(Sarandón, 2021)</w:t>
      </w:r>
      <w:r w:rsidR="00D84709">
        <w:fldChar w:fldCharType="end"/>
      </w:r>
      <w:r>
        <w:t xml:space="preserve">. </w:t>
      </w:r>
    </w:p>
    <w:p w14:paraId="2C7FEDE1" w14:textId="0AC83F20" w:rsidR="00D24E95" w:rsidRPr="00D24E95" w:rsidRDefault="00D24E95" w:rsidP="00D24E95">
      <w:pPr>
        <w:jc w:val="both"/>
      </w:pPr>
      <w:r w:rsidRPr="00D24E95">
        <w:lastRenderedPageBreak/>
        <w:t>A través de talleres participativos, se identificaron tres subsistemas agroecológicos para la finca Bellavista, los cuales fueron aceptados por la familia residente debido a sus beneficios potenciales a corto, mediano y largo plazo. Esta implementación no solo satisface las necesidades productivas de la finca, sino que también mejora la adaptación a la variabilidad y al cambio climático</w:t>
      </w:r>
      <w:r w:rsidR="00EF2216">
        <w:t xml:space="preserve"> </w:t>
      </w:r>
      <w:r w:rsidR="00EF2216">
        <w:fldChar w:fldCharType="begin" w:fldLock="1"/>
      </w:r>
      <w:r w:rsidR="00EF2216">
        <w:instrText>ADDIN CSL_CITATION {"citationItems":[{"id":"ITEM-1","itemData":{"DOI":"10.15381/RIVEP.V33I2.20543","ISSN":"1609-9117","abstract":"The aim of this study was to know the perception and knowledge of small producers about the behavior of the climate, its effect on milk production and the practices that allow adaptation to this behavior. The study was developed in Carmen de Carupa and Suesca (Cundinamarca, Colombia) with 40 producers who shared their knowledge through a semi-structured interview. The causes of climate change, events that affect milk production, changes in the climate in recent years and strategies that allow its adaptation were investigated. The humidity temperature index, precipitation, milk production and forage quality were determined. Frequency and principal component analysis were analysed through the Infostat® program. Producers considered deforestation as the main cause of climate change, perceived changes in climate and recognized droughts, frosts and high temperatures as events with the greatest negative impact on milk production, perceived changes in rainy seasons and less precipitation, longer droughts, increase in temperature and frosts during the year. They also considered agroecological practices important to adapt to climate variability. Milk production presented a positive relationship with digestibility and crude protein, a negative relationship with neutral detergent fibre and acid detergent fibre, as well as between precipitation with dry matter and milk production, which corresponded to some of the producers’ perceptions. It is concluded that small milk producers have perceptions and knowledge of climate changes, its impact on milk production and practices that allow adaptation to conditions of seasonality and climate variability.","author":[{"dropping-particle":"","family":"Navas","given":"Alexander","non-dropping-particle":"","parse-names":false,"suffix":""}],"container-title":"Revista de Investigaciones Veterinarias del Perú","id":"ITEM-1","issue":"2","issued":{"date-parts":[["2022"]]},"publisher":"Universidad Nacional Mayor de San Marcos","title":"Percepciones de pequeños productores sobre cambios en el clima y su efecto en sistemas de producción de leche","type":"article-journal","volume":"33"},"uris":["http://www.mendeley.com/documents/?uuid=e72be931-b871-3cbf-a543-f3e19feea68d"]}],"mendeley":{"formattedCitation":"(Navas, 2022)","plainTextFormattedCitation":"(Navas, 2022)","previouslyFormattedCitation":"(Navas, 2022)"},"properties":{"noteIndex":0},"schema":"https://github.com/citation-style-language/schema/raw/master/csl-citation.json"}</w:instrText>
      </w:r>
      <w:r w:rsidR="00EF2216">
        <w:fldChar w:fldCharType="separate"/>
      </w:r>
      <w:r w:rsidR="00EF2216" w:rsidRPr="00EF2216">
        <w:rPr>
          <w:noProof/>
        </w:rPr>
        <w:t>(Navas, 2022)</w:t>
      </w:r>
      <w:r w:rsidR="00EF2216">
        <w:fldChar w:fldCharType="end"/>
      </w:r>
      <w:r w:rsidR="00EF2216">
        <w:t>.</w:t>
      </w:r>
      <w:r w:rsidRPr="00D24E95">
        <w:t xml:space="preserve"> </w:t>
      </w:r>
      <w:r>
        <w:t>Por lo que, l</w:t>
      </w:r>
      <w:r w:rsidRPr="00D24E95">
        <w:t>os sistemas agroecológicos destacan como una estrategia clave para asegurar la soberanía alimentaria y promover la conservación ambiental</w:t>
      </w:r>
      <w:r w:rsidR="00EF2216">
        <w:t xml:space="preserve"> </w:t>
      </w:r>
      <w:r w:rsidR="00EF2216">
        <w:fldChar w:fldCharType="begin" w:fldLock="1"/>
      </w:r>
      <w:r w:rsidR="00EF2216">
        <w:instrText>ADDIN CSL_CITATION {"citationItems":[{"id":"ITEM-1","itemData":{"author":[{"dropping-particle":"","family":"Cevallos","given":"Marco","non-dropping-particle":"","parse-names":false,"suffix":""},{"dropping-particle":"","family":"Urdaneta","given":"Fátima","non-dropping-particle":"","parse-names":false,"suffix":""},{"dropping-particle":"","family":"Jaimes","given":"Edgar","non-dropping-particle":"","parse-names":false,"suffix":""}],"container-title":"Revista de Ciencias Sociales","id":"ITEM-1","issue":"3","issued":{"date-parts":[["2019"]]},"page":"172-185","title":"Desarrollo de sistemas de producción agroecológica: Dimensiones e indicadores para su estudio","type":"article-journal","volume":"25"},"uris":["http://www.mendeley.com/documents/?uuid=5db58644-00f4-3053-81ec-014ec395911f"]}],"mendeley":{"formattedCitation":"(Cevallos et al., 2019)","plainTextFormattedCitation":"(Cevallos et al., 2019)","previouslyFormattedCitation":"(Cevallos et al., 2019)"},"properties":{"noteIndex":0},"schema":"https://github.com/citation-style-language/schema/raw/master/csl-citation.json"}</w:instrText>
      </w:r>
      <w:r w:rsidR="00EF2216">
        <w:fldChar w:fldCharType="separate"/>
      </w:r>
      <w:r w:rsidR="00EF2216" w:rsidRPr="00EF2216">
        <w:rPr>
          <w:noProof/>
        </w:rPr>
        <w:t>(Cevallos et al., 2019)</w:t>
      </w:r>
      <w:r w:rsidR="00EF2216">
        <w:fldChar w:fldCharType="end"/>
      </w:r>
      <w:r w:rsidRPr="00D24E95">
        <w:t>. Además, contribuyen al incremento del empleo rural mediante el uso de tecnologías sostenibles, fortalecen el tejido social mediante la interacción campo-ciudad, y apoyan la participación en la toma de decisiones sobre recursos naturales. En conjunto, estos sistemas fomentan la producción sostenible, reducen la pobreza rural, mejoran la nutrición y aumentan la resiliencia ante el cambio climático</w:t>
      </w:r>
      <w:r w:rsidR="00EF2216">
        <w:t xml:space="preserve"> </w:t>
      </w:r>
      <w:r w:rsidR="00EF2216">
        <w:fldChar w:fldCharType="begin" w:fldLock="1"/>
      </w:r>
      <w:r w:rsidR="00693021">
        <w:instrText>ADDIN CSL_CITATION {"citationItems":[{"id":"ITEM-1","itemData":{"author":[{"dropping-particle":"","family":"Macas","given":"Benjamín","non-dropping-particle":"","parse-names":false,"suffix":""},{"dropping-particle":"","family":"Echarry","given":"Koldo","non-dropping-particle":"","parse-names":false,"suffix":""}],"container-title":"Coordinadora Ecuatoriana de Agroecología","id":"ITEM-1","issued":{"date-parts":[["2009"]]},"number-of-pages":"1-45","title":"Caracterización de mercados locales agroecológicos y sistemas participativos de garantía que se construyen en el Ecuador","type":"thesis"},"uris":["http://www.mendeley.com/documents/?uuid=2e98b7f0-4672-4b12-8a2c-49bc644485ba"]},{"id":"ITEM-2","itemData":{"DOI":"10.4067/S0718-34292015000100008","ISSN":"0718-3429","abstract":"The purpose of this paper is to characterize nine coffee agroecosystems from the Colombian Andes with an agroecological approach. Attributes and indicators evaluated are grouped under three dimensions: economic, social and technical-productive. Indicators are sensitive to agroecosystem conditions and can be easily understood by farmers. Low productivity of coffee plantations and economic risk are identified as the main problems. The study found high food security in most of the farms despite deficiencies in coffee productivity. The methodology proposed could be adapted by other researchers for the characterization of peasant agroecosystems without forgetting that setting indicators should be a participatory process; indicators used in this work do not account for all internal and external conditions that affect agroecosystems but they highlight relevant factors for social reproduction of peasant families.","author":[{"dropping-particle":"","family":"Machado","given":"Mónica María","non-dropping-particle":"","parse-names":false,"suffix":""},{"dropping-particle":"","family":"Nicholls","given":"Clara Inés","non-dropping-particle":"","parse-names":false,"suffix":""},{"dropping-particle":"","family":"Márquez","given":"Sara María","non-dropping-particle":"","parse-names":false,"suffix":""},{"dropping-particle":"","family":"Turbay","given":"Sandra","non-dropping-particle":"","parse-names":false,"suffix":""}],"container-title":"Idesia (Arica)","id":"ITEM-2","issue":"1","issued":{"date-parts":[["2015"]]},"page":"69-83","publisher":"Universidad de Tarapacá. Facultad de Ciencias Agronómicas","title":"Caracterización de nueve agroecosistemas de café de la cuenca del río Porce, Colombia, con un enfoque agroecológico","type":"article-journal","volume":"33"},"uris":["http://www.mendeley.com/documents/?uuid=780c915b-e74b-3ed7-bec9-c0e89335dc62"]}],"mendeley":{"formattedCitation":"(Macas &amp; Echarry, 2009; Machado et al., 2015)","plainTextFormattedCitation":"(Macas &amp; Echarry, 2009; Machado et al., 2015)","previouslyFormattedCitation":"(Macas &amp; Echarry, 2009; Machado et al., 2015)"},"properties":{"noteIndex":0},"schema":"https://github.com/citation-style-language/schema/raw/master/csl-citation.json"}</w:instrText>
      </w:r>
      <w:r w:rsidR="00EF2216">
        <w:fldChar w:fldCharType="separate"/>
      </w:r>
      <w:r w:rsidR="00EF2216" w:rsidRPr="00EF2216">
        <w:rPr>
          <w:noProof/>
        </w:rPr>
        <w:t>(Macas &amp; Echarry, 2009; Machado et al., 2015)</w:t>
      </w:r>
      <w:r w:rsidR="00EF2216">
        <w:fldChar w:fldCharType="end"/>
      </w:r>
      <w:r w:rsidRPr="00D24E95">
        <w:t>.</w:t>
      </w:r>
    </w:p>
    <w:p w14:paraId="67F89FD9" w14:textId="75E547A5" w:rsidR="00C53573" w:rsidRDefault="00C53573" w:rsidP="0006321F">
      <w:pPr>
        <w:jc w:val="both"/>
      </w:pPr>
      <w:r w:rsidRPr="00C53573">
        <w:t>La implementación de sistemas agroecológicos, como HAF, SAF y el uso de abonos orgánicos, contribuye significativamente a la reducción de la erosión del suelo, la contaminación por agroquímicos y la mejora del hábitat para la vida silvestre. Estos cambios disminuyen los riesgos para la salud humana y mejoran las condiciones de vida de los agricultores, al reducir la dependencia de insumos externos y los costos de producción, lo cual es particularmente beneficioso para pequeños productores como los de la finca Bellavista</w:t>
      </w:r>
      <w:r>
        <w:t xml:space="preserve"> </w:t>
      </w:r>
      <w:r>
        <w:fldChar w:fldCharType="begin" w:fldLock="1"/>
      </w:r>
      <w:r>
        <w:instrText>ADDIN CSL_CITATION {"citationItems":[{"id":"ITEM-1","itemData":{"author":[{"dropping-particle":"","family":"Altieri","given":"Miguel","non-dropping-particle":"","parse-names":false,"suffix":""},{"dropping-particle":"","family":"Koohafkan","given":"Parviz","non-dropping-particle":"","parse-names":false,"suffix":""},{"dropping-particle":"","family":"Holt Gimenez","given":"Eric","non-dropping-particle":"","parse-names":false,"suffix":""}],"container-title":"Agroecología","id":"ITEM-1","issued":{"date-parts":[["2012"]]},"page":"7-18","title":"Fundamentos agroecológicos para diseñar sistemas agrícolas biodiversos, resilientes y productivos","type":"article-journal","volume":"7"},"uris":["http://www.mendeley.com/documents/?uuid=d523cf65-cc65-33cd-b576-bc52e5daabc8"]},{"id":"ITEM-2","itemData":{"author":[{"dropping-particle":"","family":"Rosset","given":"Peter","non-dropping-particle":"","parse-names":false,"suffix":""}],"container-title":"Revista de CLADES","id":"ITEM-2","issued":{"date-parts":[["1998","1","1"]]},"page":"16","title":"La crisis de la agricultura convencional, la sustitución de insumos y el enfoque agroecológico","type":"article-journal"},"uris":["http://www.mendeley.com/documents/?uuid=3302c11e-0253-3e59-b413-ffff2f4cd3d6"]}],"mendeley":{"formattedCitation":"(Altieri et al., 2012; Rosset, 1998)","plainTextFormattedCitation":"(Altieri et al., 2012; Rosset, 1998)","previouslyFormattedCitation":"(Altieri et al., 2012; Rosset, 1998)"},"properties":{"noteIndex":0},"schema":"https://github.com/citation-style-language/schema/raw/master/csl-citation.json"}</w:instrText>
      </w:r>
      <w:r>
        <w:fldChar w:fldCharType="separate"/>
      </w:r>
      <w:r w:rsidRPr="00C53573">
        <w:rPr>
          <w:noProof/>
        </w:rPr>
        <w:t>(Altieri et al., 2012; Rosset, 1998)</w:t>
      </w:r>
      <w:r>
        <w:fldChar w:fldCharType="end"/>
      </w:r>
      <w:r>
        <w:t xml:space="preserve">. </w:t>
      </w:r>
    </w:p>
    <w:p w14:paraId="2A2FAE3D" w14:textId="0507291F" w:rsidR="0006321F" w:rsidRDefault="00C53573" w:rsidP="0006321F">
      <w:pPr>
        <w:jc w:val="both"/>
      </w:pPr>
      <w:r w:rsidRPr="00C53573">
        <w:t>Además, estos subsistemas fomentan la diversificación de cultivos, mantienen la diversidad genética local, integran el ganado y enriquecen el suelo con materia orgánica, lo que permite a los agricultores aumentar la rentabilidad y estabilidad económica de sus cultivos al acceder a mercados diferenciados</w:t>
      </w:r>
      <w:r>
        <w:t xml:space="preserve"> </w:t>
      </w:r>
      <w:r w:rsidR="00007BE0">
        <w:fldChar w:fldCharType="begin" w:fldLock="1"/>
      </w:r>
      <w:r>
        <w:instrText>ADDIN CSL_CITATION {"citationItems":[{"id":"ITEM-1","itemData":{"abstract":"Agro-ecological bases for the adaptation of agriculture to climate change. Although many indigenous and peasant populations are particularly exposed to the impacts of climate change and are vulnerable, many communities are actively responding to the changing climate and have demonstrated innovation and resilience, using a variety of strategies to deal with droughts, floods, hurricanes, etc. In this article we argue that traditional agricultural systems offer a wide range of options and management designs that increase the functional biodiversity of crop fields, and therefore, reinforce the resilience of agroecosystems. Many of the traditional agroecological strategies that reduce vulnerability to climatic variability includes the diversification of crops, the maintenance of local genetic diversity, animal integration, the addition of organic matter to the soil, the harvesting of water, etc. Many agroecologists have deciphered the agroecological principles that underlie these strategies which can be adapted taking different technological forms (according to the size of the farms) to design modern agricultural systems so that they become increasingly resilient to the climatic extremes. RESUMEN: Aunque muchas poblaciones indígenas y campesinas están particularmente expuestas a los impactos del cambio climático y son vulnerables, algunas comunidades están activamente respondiendo al clima cambiante y han demostrado innovación y resiliencia, utilizando una diversidad de estrategias para enfrentar las sequías, inundaciones, huracanes, etc. En este artículo argumentamos que los sistemas agrí-colas tradicionales ofrecen una amplia gama de opciones y diseños de manejo que incrementan la biodiversidad funcional en los campos de cultivo, y por consiguiente, refuerzan la resiliencia de los agroeco-sistemas. Muchas de las estrategias agroecológicas tradicionales que reducen la vulnerabilidad a la variabilidad climática incluyen la di-versificación de cultivos, el mantenimiento de la diversidad genética local, la integración animal, la adición de materia orgánica al suelo, la cosecha de agua, etc. Varios agroecólogos han descifrado los principios agroecológicos que subyacen a estas estrategias, los cuales se pueden adaptar tomando diferentes formas tecnológicas (de acuerdo al tama-ño de las fincas) para diseñar sistemas agrícolas modernos que se tor-nen cada vez más resilientes a los extremos climáticos. La literatura científica y popular reporta que la agri-cultura …","author":[{"dropping-particle":"","family":"Nicholls","given":"Clara Inés","non-dropping-particle":"","parse-names":false,"suffix":""},{"dropping-particle":"","family":"Altieri","given":"Miguel A.","non-dropping-particle":"","parse-names":false,"suffix":""}],"id":"ITEM-1","issue":"1","issued":{"date-parts":[["2019"]]},"title":"Bases agroecológicas para la adaptación de la agricultura al cambio climático","type":"article-journal","volume":"11"},"uris":["http://www.mendeley.com/documents/?uuid=2fda65ad-4c91-3fba-92d4-02bfce346665"]},{"id":"ITEM-2","itemData":{"DOI":"10.4067/S0718-34292015000100008","ISSN":"0718-3429","abstract":"The purpose of this paper is to characterize nine coffee agroecosystems from the Colombian Andes with an agroecological approach. Attributes and indicators evaluated are grouped under three dimensions: economic, social and technical-productive. Indicators are sensitive to agroecosystem conditions and can be easily understood by farmers. Low productivity of coffee plantations and economic risk are identified as the main problems. The study found high food security in most of the farms despite deficiencies in coffee productivity. The methodology proposed could be adapted by other researchers for the characterization of peasant agroecosystems without forgetting that setting indicators should be a participatory process; indicators used in this work do not account for all internal and external conditions that affect agroecosystems but they highlight relevant factors for social reproduction of peasant families.","author":[{"dropping-particle":"","family":"Machado","given":"Mónica María","non-dropping-particle":"","parse-names":false,"suffix":""},{"dropping-particle":"","family":"Nicholls","given":"Clara Inés","non-dropping-particle":"","parse-names":false,"suffix":""},{"dropping-particle":"","family":"Márquez","given":"Sara María","non-dropping-particle":"","parse-names":false,"suffix":""},{"dropping-particle":"","family":"Turbay","given":"Sandra","non-dropping-particle":"","parse-names":false,"suffix":""}],"container-title":"Idesia (Arica)","id":"ITEM-2","issue":"1","issued":{"date-parts":[["2015"]]},"page":"69-83","publisher":"Universidad de Tarapacá. Facultad de Ciencias Agronómicas","title":"Caracterización de nueve agroecosistemas de café de la cuenca del río Porce, Colombia, con un enfoque agroecológico","type":"article-journal","volume":"33"},"uris":["http://www.mendeley.com/documents/?uuid=780c915b-e74b-3ed7-bec9-c0e89335dc62"]}],"mendeley":{"formattedCitation":"(Machado et al., 2015; Nicholls &amp; Altieri, 2019)","plainTextFormattedCitation":"(Machado et al., 2015; Nicholls &amp; Altieri, 2019)","previouslyFormattedCitation":"(Machado et al., 2015; Nicholls &amp; Altieri, 2019)"},"properties":{"noteIndex":0},"schema":"https://github.com/citation-style-language/schema/raw/master/csl-citation.json"}</w:instrText>
      </w:r>
      <w:r w:rsidR="00007BE0">
        <w:fldChar w:fldCharType="separate"/>
      </w:r>
      <w:r w:rsidRPr="00C53573">
        <w:rPr>
          <w:noProof/>
        </w:rPr>
        <w:t>(Machado et al., 2015; Nicholls &amp; Altieri, 2019)</w:t>
      </w:r>
      <w:r w:rsidR="00007BE0">
        <w:fldChar w:fldCharType="end"/>
      </w:r>
      <w:r w:rsidR="0006321F">
        <w:t xml:space="preserve">. </w:t>
      </w:r>
      <w:r w:rsidRPr="00C53573">
        <w:t>También reducen la vulnerabilidad a plagas, enfermedades y problemas alimentarios, mejorando la resiliencia del sistema agroecológico. La actividad de organismos edáficos asegura la funcionalidad del suelo, mejora su calidad, aumenta la productividad de los cultivos y optimiza los servicios ecosistémicos</w:t>
      </w:r>
      <w:r>
        <w:t xml:space="preserve"> </w:t>
      </w:r>
      <w:r w:rsidR="00693021">
        <w:fldChar w:fldCharType="begin" w:fldLock="1"/>
      </w:r>
      <w:r w:rsidR="00376EEF">
        <w:instrText>ADDIN CSL_CITATION {"citationItems":[{"id":"ITEM-1","itemData":{"ISBN":"978-628-7656-07-9","author":[{"dropping-particle":"","family":"Gonzáles-Pedraza","given":"Ana Francisca","non-dropping-particle":"","parse-names":false,"suffix":""},{"dropping-particle":"","family":"Castellanos","given":"Leónides","non-dropping-particle":"","parse-names":false,"suffix":""},{"dropping-particle":"","family":"Capacho","given":"Alfonso Eugenio","non-dropping-particle":"","parse-names":false,"suffix":""}],"edition":"1","id":"ITEM-1","issued":{"date-parts":[["2023"]]},"number-of-pages":"191","publisher":"Editorial Unipamplona","title":"Influencia de tres modelos agroecológicos sobre la calidad del suelo en el municipio de Ocaña, Norte de Santander","type":"book"},"uris":["http://www.mendeley.com/documents/?uuid=3fb53e7e-7818-3cb1-baad-106f6babc132"]},{"id":"ITEM-2","itemData":{"ISSN":"0864-0394","abstract":"In a farm with livestock production-agriculture integrated management, located in Cangrejeras, Artemisa province, the impact of agroecological methods was evaluated through the variation of the soil mesofauna,. Three management systems were selected: pastureland area, designated as control area, which had been established for more than 20 years; forage area, planted in mosaic form, with small plots of perennial crops, and subject to an organic manure treatment; and polycrop area, with a rotation system of short-cycle crops and application of compost. The samplings were conducted six and eight years after making the transformations in the forage and crop areas, in both seasons. Five samples were taken in each system, at a depth of 0-10 cm, according to a completely randomized design. In general, in the forage and pastureland areas, regarding the Oribatida/Astigmata, Oribatida/Prostigmata and Astigmata/Mesostigmata ratios (in both seasons and years of transformation), the edaphic groups that constitute indicators of soil stability and fertility prevailed (Oribatida and Mesostigmata), as they are favored by the incorporation of organic matter and a higher soil cover, which stimulates the mesofauna to recover higher stability conditions. In the polycrop area the groups which are indicators of the soil instability and infertility (Astigmata and Prostigmata) prevailed, because the crop rotation and the management of the agroecological techniques did not guarantee yet the conditions that benefit the establishment of the other groups.","author":[{"dropping-particle":"","family":"Socarrás","given":"Ana","non-dropping-particle":"","parse-names":false,"suffix":""},{"dropping-particle":"","family":"Izquierdo","given":"I","non-dropping-particle":"","parse-names":false,"suffix":""}],"container-title":"Pastos y Forrajes","id":"ITEM-2","issue":"1","issued":{"date-parts":[["2014"]]},"page":"47-54","publisher":"Estación Experimental de Pastos y Forrajes Indio Hatuey","title":"Evaluación de sistemas agroecológicos mediante indicadores biológicos de la calidad del suelo: mesofauna edáfica","type":"article-journal","volume":"37"},"uris":["http://www.mendeley.com/documents/?uuid=5f7065fd-c22b-3275-9d5d-3eb8e3294ff1"]}],"mendeley":{"formattedCitation":"(Gonzáles-Pedraza et al., 2023; Socarrás &amp; Izquierdo, 2014)","plainTextFormattedCitation":"(Gonzáles-Pedraza et al., 2023; Socarrás &amp; Izquierdo, 2014)","previouslyFormattedCitation":"(Gonzáles-Pedraza et al., 2023; Socarrás &amp; Izquierdo, 2014)"},"properties":{"noteIndex":0},"schema":"https://github.com/citation-style-language/schema/raw/master/csl-citation.json"}</w:instrText>
      </w:r>
      <w:r w:rsidR="00693021">
        <w:fldChar w:fldCharType="separate"/>
      </w:r>
      <w:r w:rsidRPr="00C53573">
        <w:rPr>
          <w:noProof/>
        </w:rPr>
        <w:t>(Gonzáles-Pedraza et al., 2023; Socarrás &amp; Izquierdo, 2014)</w:t>
      </w:r>
      <w:r w:rsidR="00693021">
        <w:fldChar w:fldCharType="end"/>
      </w:r>
      <w:r w:rsidR="00693021">
        <w:t>.</w:t>
      </w:r>
      <w:r w:rsidR="0006321F">
        <w:t xml:space="preserve"> </w:t>
      </w:r>
    </w:p>
    <w:p w14:paraId="322951C4" w14:textId="783A4611" w:rsidR="0006321F" w:rsidRDefault="00C53573" w:rsidP="0006321F">
      <w:pPr>
        <w:jc w:val="both"/>
      </w:pPr>
      <w:r w:rsidRPr="00C53573">
        <w:t xml:space="preserve">La evaluación realizada en la finca Bellavista, utilizando la guía de </w:t>
      </w:r>
      <w:proofErr w:type="spellStart"/>
      <w:r w:rsidRPr="00C53573">
        <w:t>Altieri</w:t>
      </w:r>
      <w:proofErr w:type="spellEnd"/>
      <w:r w:rsidRPr="00C53573">
        <w:t xml:space="preserve"> &amp; </w:t>
      </w:r>
      <w:proofErr w:type="spellStart"/>
      <w:r w:rsidRPr="00C53573">
        <w:t>Nicholls</w:t>
      </w:r>
      <w:proofErr w:type="spellEnd"/>
      <w:r w:rsidRPr="00C53573">
        <w:t xml:space="preserve"> (2002) para evaluar la</w:t>
      </w:r>
      <w:r w:rsidR="00E913D5">
        <w:t xml:space="preserve"> salud y calidad del suelo (</w:t>
      </w:r>
      <w:r w:rsidRPr="00C53573">
        <w:t xml:space="preserve">Figuras 3 y 4), reveló que los suelos se encuentran en un estado vulnerable, con un bajo nivel de diversidad natural circundante, incidencia de enfermedades y un crecimiento </w:t>
      </w:r>
      <w:proofErr w:type="spellStart"/>
      <w:r w:rsidRPr="00C53573">
        <w:t>subóptimo</w:t>
      </w:r>
      <w:proofErr w:type="spellEnd"/>
      <w:r w:rsidRPr="00C53573">
        <w:t xml:space="preserve"> de los cultivos. Estos problemas están asociados con la falta de cobertura del suelo, escasa profundidad y desarrollo de las raíces, así como con un alto grado de compactación y baja capacidad de infiltración.</w:t>
      </w:r>
      <w:r w:rsidR="00E913D5">
        <w:t xml:space="preserve"> </w:t>
      </w:r>
      <w:r w:rsidR="00E913D5" w:rsidRPr="00E913D5">
        <w:t>Aunque la finca no practica agricultura convencional, estas condiciones desfavorables podrían estar relacionadas con la variabilidad climática, que afecta la capacidad del suelo para regenerarse y mantener su salud. Es fundamental realizar estas evaluaciones periódicamente para monitorear y abordar las deficiencias en la salud del suelo</w:t>
      </w:r>
      <w:r w:rsidR="00E913D5">
        <w:t xml:space="preserve"> </w:t>
      </w:r>
      <w:r w:rsidR="001E0883">
        <w:fldChar w:fldCharType="begin" w:fldLock="1"/>
      </w:r>
      <w:r w:rsidR="005A61F5">
        <w:instrText>ADDIN CSL_CITATION {"citationItems":[{"id":"ITEM-1","itemData":{"ISSN":"1405-1435","author":[{"dropping-particle":"","family":"Gutiérrez","given":"Jesús","non-dropping-particle":"","parse-names":false,"suffix":""},{"dropping-particle":"","family":"Aguilera","given":"Luis","non-dropping-particle":"","parse-names":false,"suffix":""},{"dropping-particle":"","family":"Gónzalez","given":"Carlos","non-dropping-particle":"","parse-names":false,"suffix":""}],"container-title":"Convergencia","id":"ITEM-1","issue":"46","issued":{"date-parts":[["2008"]]},"page":"51-87","title":"Agroecología y sustentabilidad","type":"article-journal","volume":"15"},"uris":["http://www.mendeley.com/documents/?uuid=450b1729-2e81-3054-b169-f33d7efb784f"]}],"mendeley":{"formattedCitation":"(Gutiérrez et al., 2008)","plainTextFormattedCitation":"(Gutiérrez et al., 2008)","previouslyFormattedCitation":"(Gutiérrez et al., 2008)"},"properties":{"noteIndex":0},"schema":"https://github.com/citation-style-language/schema/raw/master/csl-citation.json"}</w:instrText>
      </w:r>
      <w:r w:rsidR="001E0883">
        <w:fldChar w:fldCharType="separate"/>
      </w:r>
      <w:r w:rsidR="001E0883" w:rsidRPr="001E0883">
        <w:rPr>
          <w:noProof/>
        </w:rPr>
        <w:t>(Gutiérrez et al., 2008)</w:t>
      </w:r>
      <w:r w:rsidR="001E0883">
        <w:fldChar w:fldCharType="end"/>
      </w:r>
      <w:r w:rsidR="00E913D5">
        <w:t>.</w:t>
      </w:r>
    </w:p>
    <w:p w14:paraId="763299D3" w14:textId="4233DA36" w:rsidR="0006321F" w:rsidRDefault="00E913D5" w:rsidP="0006321F">
      <w:pPr>
        <w:jc w:val="both"/>
      </w:pPr>
      <w:r w:rsidRPr="00E913D5">
        <w:t xml:space="preserve">Para revertir estas condiciones, la implementación de subsistemas agroecológicos es clave. Estos enfoques promueven una mayor cobertura del suelo, mejoran la estructura y capacidad de infiltración del agua, y favorecen el desarrollo profundo de las raíces. La incorporación de materia orgánica mediante abonos orgánicos enriquece el suelo, mejora su capacidad de retención de nutrientes y agua, y aumenta la biodiversidad de organismos edáficos que contribuyen a controlar enfermedades y malezas. En conjunto, estas prácticas restauran la salud y calidad del suelo, lo que </w:t>
      </w:r>
      <w:r w:rsidRPr="00E913D5">
        <w:lastRenderedPageBreak/>
        <w:t>incrementa la productividad de la finca y asegura su sostenibilidad a largo plazo</w:t>
      </w:r>
      <w:r>
        <w:t xml:space="preserve"> </w:t>
      </w:r>
      <w:r w:rsidR="00C53573">
        <w:fldChar w:fldCharType="begin" w:fldLock="1"/>
      </w:r>
      <w:r w:rsidR="00C53573">
        <w:instrText>ADDIN CSL_CITATION {"citationItems":[{"id":"ITEM-1","itemData":{"abstract":"Agro-ecological bases for the adaptation of agriculture to climate change. Although many indigenous and peasant populations are particularly exposed to the impacts of climate change and are vulnerable, many communities are actively responding to the changing climate and have demonstrated innovation and resilience, using a variety of strategies to deal with droughts, floods, hurricanes, etc. In this article we argue that traditional agricultural systems offer a wide range of options and management designs that increase the functional biodiversity of crop fields, and therefore, reinforce the resilience of agroecosystems. Many of the traditional agroecological strategies that reduce vulnerability to climatic variability includes the diversification of crops, the maintenance of local genetic diversity, animal integration, the addition of organic matter to the soil, the harvesting of water, etc. Many agroecologists have deciphered the agroecological principles that underlie these strategies which can be adapted taking different technological forms (according to the size of the farms) to design modern agricultural systems so that they become increasingly resilient to the climatic extremes. RESUMEN: Aunque muchas poblaciones indígenas y campesinas están particularmente expuestas a los impactos del cambio climático y son vulnerables, algunas comunidades están activamente respondiendo al clima cambiante y han demostrado innovación y resiliencia, utilizando una diversidad de estrategias para enfrentar las sequías, inundaciones, huracanes, etc. En este artículo argumentamos que los sistemas agrí-colas tradicionales ofrecen una amplia gama de opciones y diseños de manejo que incrementan la biodiversidad funcional en los campos de cultivo, y por consiguiente, refuerzan la resiliencia de los agroeco-sistemas. Muchas de las estrategias agroecológicas tradicionales que reducen la vulnerabilidad a la variabilidad climática incluyen la di-versificación de cultivos, el mantenimiento de la diversidad genética local, la integración animal, la adición de materia orgánica al suelo, la cosecha de agua, etc. Varios agroecólogos han descifrado los principios agroecológicos que subyacen a estas estrategias, los cuales se pueden adaptar tomando diferentes formas tecnológicas (de acuerdo al tama-ño de las fincas) para diseñar sistemas agrícolas modernos que se tor-nen cada vez más resilientes a los extremos climáticos. La literatura científica y popular reporta que la agri-cultura …","author":[{"dropping-particle":"","family":"Nicholls","given":"Clara Inés","non-dropping-particle":"","parse-names":false,"suffix":""},{"dropping-particle":"","family":"Altieri","given":"Miguel A.","non-dropping-particle":"","parse-names":false,"suffix":""}],"id":"ITEM-1","issue":"1","issued":{"date-parts":[["2019"]]},"title":"Bases agroecológicas para la adaptación de la agricultura al cambio climático","type":"article-journal","volume":"11"},"uris":["http://www.mendeley.com/documents/?uuid=2fda65ad-4c91-3fba-92d4-02bfce346665"]}],"mendeley":{"formattedCitation":"(Nicholls &amp; Altieri, 2019)","plainTextFormattedCitation":"(Nicholls &amp; Altieri, 2019)","previouslyFormattedCitation":"(Nicholls &amp; Altieri, 2019)"},"properties":{"noteIndex":0},"schema":"https://github.com/citation-style-language/schema/raw/master/csl-citation.json"}</w:instrText>
      </w:r>
      <w:r w:rsidR="00C53573">
        <w:fldChar w:fldCharType="separate"/>
      </w:r>
      <w:r w:rsidR="00C53573" w:rsidRPr="00C53573">
        <w:rPr>
          <w:noProof/>
        </w:rPr>
        <w:t>(Nicholls &amp; Altieri, 2019)</w:t>
      </w:r>
      <w:r w:rsidR="00C53573">
        <w:fldChar w:fldCharType="end"/>
      </w:r>
      <w:r w:rsidR="0006321F">
        <w:t xml:space="preserve">. </w:t>
      </w:r>
    </w:p>
    <w:p w14:paraId="1B28FAC9" w14:textId="77777777" w:rsidR="00E913D5" w:rsidRDefault="00E913D5" w:rsidP="0006321F">
      <w:pPr>
        <w:jc w:val="both"/>
      </w:pPr>
      <w:r w:rsidRPr="00E913D5">
        <w:t>Dentro del diseño agroecológico de la finca Bellavista, se contemplan diversas especies, incluyendo hortalizas, que son de gran importancia debido a su amplio consumo global</w:t>
      </w:r>
      <w:r>
        <w:t xml:space="preserve"> </w:t>
      </w:r>
      <w:r w:rsidR="005A61F5">
        <w:fldChar w:fldCharType="begin" w:fldLock="1"/>
      </w:r>
      <w:r w:rsidR="005A61F5">
        <w:instrText>ADDIN CSL_CITATION {"citationItems":[{"id":"ITEM-1","itemData":{"ISSN":"0327-9375","author":[{"dropping-particle":"Del","family":"Vitto","given":"Luis A.","non-dropping-particle":"","parse-names":false,"suffix":""},{"dropping-particle":"","family":"Petenatti","given":"E. M","non-dropping-particle":"","parse-names":false,"suffix":""}],"container-title":"Multequina","id":"ITEM-1","issue":"18","issued":{"date-parts":[["2009"]]},"page":"87-115","publisher":"Instituto Argentino de Investigaciones de las Zonas Áridas","title":"ASTERÁCEAS DE IMPORTANCIA ECONÓMICA Y AMBIENTAL. PRIMERA PARTE. SINOPSIS MORFOLÓGICA Y TAXONÓMICA, IMPORTANCIA ECOLÓGICA Y PLANTAS DE INTERÉS INDUSTRIAL","type":"article-journal","volume":"1"},"uris":["http://www.mendeley.com/documents/?uuid=970e6205-b19e-3dda-a63b-40070317dcce"]}],"mendeley":{"formattedCitation":"(Vitto &amp; Petenatti, 2009)","plainTextFormattedCitation":"(Vitto &amp; Petenatti, 2009)","previouslyFormattedCitation":"(Vitto &amp; Petenatti, 2009)"},"properties":{"noteIndex":0},"schema":"https://github.com/citation-style-language/schema/raw/master/csl-citation.json"}</w:instrText>
      </w:r>
      <w:r w:rsidR="005A61F5">
        <w:fldChar w:fldCharType="separate"/>
      </w:r>
      <w:r w:rsidR="005A61F5" w:rsidRPr="005A61F5">
        <w:rPr>
          <w:noProof/>
        </w:rPr>
        <w:t>(Vitto &amp; Petenatti, 2009)</w:t>
      </w:r>
      <w:r w:rsidR="005A61F5">
        <w:fldChar w:fldCharType="end"/>
      </w:r>
      <w:r w:rsidR="005A61F5">
        <w:t>.</w:t>
      </w:r>
      <w:r w:rsidR="00827F38">
        <w:t xml:space="preserve"> </w:t>
      </w:r>
      <w:r>
        <w:t>Las</w:t>
      </w:r>
      <w:r w:rsidRPr="00E913D5">
        <w:t xml:space="preserve"> hortalizas no solo proporcionan un recurso alimenticio esencial para la familia residente, sino que también generan ingresos significativos debido a su fácil comercialización y alta calidad</w:t>
      </w:r>
      <w:r w:rsidR="005A61F5">
        <w:t xml:space="preserve"> </w:t>
      </w:r>
      <w:r w:rsidR="005A61F5">
        <w:fldChar w:fldCharType="begin" w:fldLock="1"/>
      </w:r>
      <w:r w:rsidR="005A61F5">
        <w:instrText>ADDIN CSL_CITATION {"citationItems":[{"id":"ITEM-1","itemData":{"abstract":"The implementation of vegetable production in rural areas is a benefit for the communities, that is, through planting a healthy and good quality horticultural product is obtained. The production of vegetables is an alternative to alleviate the family economy, since it would generate income from the sale of surplus production and a decrease in family spending for self-consumption. To optimize the production of vegetables you can cover the expenses with recyclable materials inside the homes and even have a planting schedule you can see what type of crop is used. As a result, we obtain that the production of vegetables in rural areas is a sustainable benefit by promoting savings to family spending for the food item in families in rural sectors. To obtain vegetative products we must consider that the fruit is of good quality, additional can be generated by giving added value to vegetables. Through horticultural gardens, socio-economic benefit for the rural sector is promoted. The benefits of food safety are diverse with home gardens that manage to produce quality food and good taste throughout the year or for several months. A well-established garden can cover the family's food demand with its production, which represents significant savings; And with the sale of some products from the garden, it helps to improve family income and acquire inputs, such as seeds or other materials.","author":[{"dropping-particle":"","family":"Hernández","given":"Guadalupe","non-dropping-particle":"","parse-names":false,"suffix":""}],"id":"ITEM-1","issued":{"date-parts":[["2022"]]},"publisher":"BABAHOYO: UTB, 2022","publisher-place":"Ecuador","title":"Análisis del beneficio de la producción de hortalizas en el sector rural","type":"thesis"},"uris":["http://www.mendeley.com/documents/?uuid=9993758b-e44f-306b-bf21-fca3eea77f5d"]}],"mendeley":{"formattedCitation":"(Hernández, 2022)","plainTextFormattedCitation":"(Hernández, 2022)","previouslyFormattedCitation":"(Hernández, 2022)"},"properties":{"noteIndex":0},"schema":"https://github.com/citation-style-language/schema/raw/master/csl-citation.json"}</w:instrText>
      </w:r>
      <w:r w:rsidR="005A61F5">
        <w:fldChar w:fldCharType="separate"/>
      </w:r>
      <w:r w:rsidR="005A61F5" w:rsidRPr="005A61F5">
        <w:rPr>
          <w:noProof/>
        </w:rPr>
        <w:t>(Hernández, 2022)</w:t>
      </w:r>
      <w:r w:rsidR="005A61F5">
        <w:fldChar w:fldCharType="end"/>
      </w:r>
      <w:r w:rsidR="005A61F5">
        <w:t xml:space="preserve">. </w:t>
      </w:r>
      <w:r w:rsidRPr="00E913D5">
        <w:t xml:space="preserve">Además, al combinar estos cultivos con plantas aromáticas, se fomenta la biodiversidad y se enriquece el </w:t>
      </w:r>
      <w:proofErr w:type="spellStart"/>
      <w:r w:rsidRPr="00E913D5">
        <w:t>agroecosistema</w:t>
      </w:r>
      <w:proofErr w:type="spellEnd"/>
      <w:r w:rsidRPr="00E913D5">
        <w:t>. Las plantas aromáticas no solo aportan un toque estético agradable, sino que también actúan como repelentes naturales</w:t>
      </w:r>
      <w:r w:rsidR="00CD7ACE">
        <w:t>.</w:t>
      </w:r>
      <w:r w:rsidR="00590FD2">
        <w:t xml:space="preserve"> </w:t>
      </w:r>
      <w:r w:rsidR="00CD7ACE" w:rsidRPr="005A61F5">
        <w:t xml:space="preserve">Según </w:t>
      </w:r>
      <w:r w:rsidR="00590FD2" w:rsidRPr="005A61F5">
        <w:t>Florencia (2021),</w:t>
      </w:r>
      <w:r w:rsidR="00590FD2">
        <w:t xml:space="preserve"> </w:t>
      </w:r>
      <w:r w:rsidRPr="00E913D5">
        <w:t>su incorporación es una estrategia ecológica eficaz para el control de plagas y enfermedades, promoviendo la presencia de organismos benéficos que actúan como controladores biológicos.</w:t>
      </w:r>
    </w:p>
    <w:p w14:paraId="155D40B1" w14:textId="478E1482" w:rsidR="00F64FD6" w:rsidRDefault="00DF1B28" w:rsidP="0006321F">
      <w:pPr>
        <w:jc w:val="both"/>
      </w:pPr>
      <w:r w:rsidRPr="00DF1B28">
        <w:t xml:space="preserve">Del mismo modo, </w:t>
      </w:r>
      <w:r w:rsidR="00E913D5" w:rsidRPr="00E913D5">
        <w:t>En la finca Bellavista, se plantaron leguminosas debido a sus múltiples beneficios para los cultivos y el suelo. Las leguminosas mejoran las propiedades físico-químicas del suelo, contribuyen al ciclo de nutrientes, fijan nitrógeno y reducen la lixiviación</w:t>
      </w:r>
      <w:r w:rsidR="00E913D5">
        <w:t xml:space="preserve"> de este elemento</w:t>
      </w:r>
      <w:r>
        <w:t xml:space="preserve"> </w:t>
      </w:r>
      <w:r w:rsidR="004308B3">
        <w:fldChar w:fldCharType="begin" w:fldLock="1"/>
      </w:r>
      <w:r w:rsidR="00C57E90">
        <w:instrText>ADDIN CSL_CITATION {"citationItems":[{"id":"ITEM-1","itemData":{"author":[{"dropping-particle":"","family":"Ruiz","given":"Elizabeth","non-dropping-particle":"","parse-names":false,"suffix":""},{"dropping-particle":"","family":"Molina","given":"Diego","non-dropping-particle":"","parse-names":false,"suffix":""}],"container-title":"Palmas","id":"ITEM-1","issue":"1","issued":{"date-parts":[["2013"]]},"page":"53-64","title":"Revisión de literatura sobre beneficios asociados al uso de coberturas leguminosas en palma de aceite y otros cultivos permanentes","type":"article-journal","volume":"35"},"uris":["http://www.mendeley.com/documents/?uuid=c74b517d-fcf9-3d3e-826f-ca000d1df493"]}],"mendeley":{"formattedCitation":"(Ruiz &amp; Molina, 2013)","plainTextFormattedCitation":"(Ruiz &amp; Molina, 2013)","previouslyFormattedCitation":"(Ruiz &amp; Molina, 2013)"},"properties":{"noteIndex":0},"schema":"https://github.com/citation-style-language/schema/raw/master/csl-citation.json"}</w:instrText>
      </w:r>
      <w:r w:rsidR="004308B3">
        <w:fldChar w:fldCharType="separate"/>
      </w:r>
      <w:r w:rsidR="004308B3" w:rsidRPr="004308B3">
        <w:rPr>
          <w:noProof/>
        </w:rPr>
        <w:t>(Ruiz &amp; Molina, 2013)</w:t>
      </w:r>
      <w:r w:rsidR="004308B3">
        <w:fldChar w:fldCharType="end"/>
      </w:r>
      <w:r w:rsidR="00715468">
        <w:t xml:space="preserve">. </w:t>
      </w:r>
      <w:r w:rsidR="00E913D5" w:rsidRPr="00E913D5">
        <w:t>Además, al combinarse con barreras vivas, las leguminosas optimizan el rendimiento del sistema. Las barreras vivas, por su parte, previenen la erosión del suelo, retienen sedimentos para evitar la contaminación del agua y promueven la hum</w:t>
      </w:r>
      <w:r w:rsidR="00E913D5">
        <w:t>edad del suel</w:t>
      </w:r>
      <w:r w:rsidRPr="00DF1B28">
        <w:t>o</w:t>
      </w:r>
      <w:r w:rsidR="005A61F5">
        <w:t xml:space="preserve"> </w:t>
      </w:r>
      <w:r w:rsidR="005A61F5">
        <w:fldChar w:fldCharType="begin" w:fldLock="1"/>
      </w:r>
      <w:r w:rsidR="00A154B1">
        <w:instrText>ADDIN CSL_CITATION {"citationItems":[{"id":"ITEM-1","itemData":{"author":[{"dropping-particle":"","family":"Ruiz V.","given":"J.","non-dropping-particle":"","parse-names":false,"suffix":""},{"dropping-particle":"","family":"Bravo E.","given":"M.","non-dropping-particle":"","parse-names":false,"suffix":""},{"dropping-particle":"","family":"Loaeza R.","given":"G.","non-dropping-particle":"","parse-names":false,"suffix":""}],"container-title":"Terra Latinoamericana","id":"ITEM-1","issue":"1","issued":{"date-parts":[["2001"]]},"page":"89-95","title":"Cubiertas vegetales y barreras vivas: tecnologías con potencial para reducir la erosión en Oaxaca, México","type":"article-journal","volume":"19"},"uris":["http://www.mendeley.com/documents/?uuid=ce185916-cc73-40bc-8b66-379cccd3ac4d"]}],"mendeley":{"formattedCitation":"(Ruiz V. et al., 2001)","plainTextFormattedCitation":"(Ruiz V. et al., 2001)","previouslyFormattedCitation":"(Ruiz V. et al., 2001)"},"properties":{"noteIndex":0},"schema":"https://github.com/citation-style-language/schema/raw/master/csl-citation.json"}</w:instrText>
      </w:r>
      <w:r w:rsidR="005A61F5">
        <w:fldChar w:fldCharType="separate"/>
      </w:r>
      <w:r w:rsidR="005A61F5" w:rsidRPr="005A61F5">
        <w:rPr>
          <w:noProof/>
        </w:rPr>
        <w:t>(Ruiz V. et al., 2001)</w:t>
      </w:r>
      <w:r w:rsidR="005A61F5">
        <w:fldChar w:fldCharType="end"/>
      </w:r>
      <w:r w:rsidR="005A61F5">
        <w:t>.</w:t>
      </w:r>
      <w:r>
        <w:t xml:space="preserve"> </w:t>
      </w:r>
      <w:r w:rsidR="005A61F5">
        <w:t xml:space="preserve">Finalmente, </w:t>
      </w:r>
      <w:r w:rsidR="00E913D5" w:rsidRPr="00E913D5">
        <w:t xml:space="preserve">Para delimitar las áreas, se seleccionó la especie </w:t>
      </w:r>
      <w:proofErr w:type="spellStart"/>
      <w:r w:rsidR="00E913D5" w:rsidRPr="00E913D5">
        <w:rPr>
          <w:i/>
        </w:rPr>
        <w:t>Gmelina</w:t>
      </w:r>
      <w:proofErr w:type="spellEnd"/>
      <w:r w:rsidR="00E913D5" w:rsidRPr="00E913D5">
        <w:rPr>
          <w:i/>
        </w:rPr>
        <w:t xml:space="preserve"> arbórea</w:t>
      </w:r>
      <w:r w:rsidR="00E913D5" w:rsidRPr="00E913D5">
        <w:t>, reconocida por su eficacia en estos aspectos.</w:t>
      </w:r>
    </w:p>
    <w:p w14:paraId="2BB61DAE" w14:textId="049D5C0E" w:rsidR="00F64FD6" w:rsidRDefault="00F64FD6" w:rsidP="0006321F">
      <w:pPr>
        <w:jc w:val="both"/>
      </w:pPr>
    </w:p>
    <w:p w14:paraId="55A30D4D" w14:textId="50461BC5" w:rsidR="00813558" w:rsidRPr="009021A4" w:rsidRDefault="00A154B1" w:rsidP="00813558">
      <w:pPr>
        <w:jc w:val="both"/>
        <w:rPr>
          <w:b/>
        </w:rPr>
      </w:pPr>
      <w:r>
        <w:rPr>
          <w:b/>
        </w:rPr>
        <w:t>CONCLUSIONES</w:t>
      </w:r>
    </w:p>
    <w:p w14:paraId="6B422098" w14:textId="77777777" w:rsidR="00813558" w:rsidRDefault="00813558" w:rsidP="00813558">
      <w:pPr>
        <w:jc w:val="both"/>
      </w:pPr>
      <w:r>
        <w:t>Este trabajo planteo la implementación y estructuración de tres subsistemas de la finca Bellavista con principios agroecológicos que buscan apoyar la transformación del sistema agroalimentario hacia un sistema sostenible que provea alternativas de producción y seguridad alimentaria para la familia, sin poner en riesgo la sostenibilidad del suelo, agua y aire, además, de la salud de las personas.</w:t>
      </w:r>
    </w:p>
    <w:p w14:paraId="62E952AA" w14:textId="77777777" w:rsidR="00813558" w:rsidRDefault="00813558" w:rsidP="00813558">
      <w:pPr>
        <w:jc w:val="both"/>
      </w:pPr>
      <w:r>
        <w:t>En este proyecto, se reconoce el trabajo que el productor y su familia vienen realizando en cuanto al manejo de sus cultivos bajo principios agroecológicos, como son la presencia de algunas  especies forestales en el cultivo principal de café, con miras a establecer una columna vertebral propia de los sistemas agroforestales, la presencia de especies diferentes al café dentro de las unidades de producción como cítricos, leguminosas y frutal3es que aportan con la seguridad alimentaria de la familia. El continuo trabajo en la producción de enmiendas orgánicas con subproductos de la finca, apoyando las interdependencias dentro del sistema y aportando mayo resiliencia a la misma.</w:t>
      </w:r>
    </w:p>
    <w:p w14:paraId="43DAA8B3" w14:textId="77777777" w:rsidR="00813558" w:rsidRDefault="00813558" w:rsidP="00813558">
      <w:pPr>
        <w:jc w:val="both"/>
      </w:pPr>
      <w:r>
        <w:t>El sistema agroalimentario contribuye a incrementar la biodiversidad, a mejorar la salud y calidad del suelo mejorando sus propiedades biológicas, físicas y químicas, provee una prestación de servicios eco sistémicos en el largo plazo. El mantenimiento e implementación de los subsistemas es un trabajo continuo con el productor y su familia que contribuye a mejorar sus medios de vida y así generar aportes significativos que son elementos para combatir los impactos generados por la variabilidad climática como consecuencia del cambio climático. Se convierte en una estrategia real de cooperación para combatir la pobreza y el hambre en comunidades más vulnerables.</w:t>
      </w:r>
    </w:p>
    <w:p w14:paraId="72CC0FE6" w14:textId="77C65212" w:rsidR="0006321F" w:rsidRPr="000D7D27" w:rsidRDefault="00A154B1">
      <w:pPr>
        <w:jc w:val="both"/>
        <w:rPr>
          <w:b/>
        </w:rPr>
      </w:pPr>
      <w:r>
        <w:rPr>
          <w:b/>
        </w:rPr>
        <w:lastRenderedPageBreak/>
        <w:t>REFERENCIAS</w:t>
      </w:r>
    </w:p>
    <w:p w14:paraId="08CC3AFB" w14:textId="7AB782E5" w:rsid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fldChar w:fldCharType="begin" w:fldLock="1"/>
      </w:r>
      <w:r>
        <w:instrText xml:space="preserve">ADDIN Mendeley Bibliography CSL_BIBLIOGRAPHY </w:instrText>
      </w:r>
      <w:r>
        <w:fldChar w:fldCharType="separate"/>
      </w:r>
      <w:r w:rsidRPr="000D7D27">
        <w:rPr>
          <w:rFonts w:ascii="Calibri" w:hAnsi="Calibri" w:cs="Times New Roman"/>
          <w:noProof/>
          <w:szCs w:val="24"/>
        </w:rPr>
        <w:t xml:space="preserve">Altieri, M., Koohafkan, P., &amp; Holt Gimenez, E. (2012). Fundamentos agroecológicos para diseñar sistemas agrícolas biodiversos, resilientes y productivos. </w:t>
      </w:r>
      <w:r w:rsidRPr="000D7D27">
        <w:rPr>
          <w:rFonts w:ascii="Calibri" w:hAnsi="Calibri" w:cs="Times New Roman"/>
          <w:i/>
          <w:iCs/>
          <w:noProof/>
          <w:szCs w:val="24"/>
        </w:rPr>
        <w:t>Agroecología</w:t>
      </w:r>
      <w:r w:rsidRPr="000D7D27">
        <w:rPr>
          <w:rFonts w:ascii="Calibri" w:hAnsi="Calibri" w:cs="Times New Roman"/>
          <w:noProof/>
          <w:szCs w:val="24"/>
        </w:rPr>
        <w:t xml:space="preserve">, </w:t>
      </w:r>
      <w:r w:rsidRPr="000D7D27">
        <w:rPr>
          <w:rFonts w:ascii="Calibri" w:hAnsi="Calibri" w:cs="Times New Roman"/>
          <w:i/>
          <w:iCs/>
          <w:noProof/>
          <w:szCs w:val="24"/>
        </w:rPr>
        <w:t>7</w:t>
      </w:r>
      <w:r w:rsidRPr="000D7D27">
        <w:rPr>
          <w:rFonts w:ascii="Calibri" w:hAnsi="Calibri" w:cs="Times New Roman"/>
          <w:noProof/>
          <w:szCs w:val="24"/>
        </w:rPr>
        <w:t>, 7–18. https://revistas.um.es/agroecologia/article/view/170961/146181</w:t>
      </w:r>
    </w:p>
    <w:p w14:paraId="6D259150" w14:textId="7B667E7F"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Altieri &amp; Nicholls (2000). Teoría y práctica para una agricultura sustentable. México: Editorial ONU. ISBN 968-7913-04-X.</w:t>
      </w:r>
    </w:p>
    <w:p w14:paraId="1DFF6955"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Altieri, M., &amp; Nicholls, C. (2002). Un Metodo Agroecologico Rapido para la Evalución de la Sostenibilidad de Cafetales. </w:t>
      </w:r>
      <w:r w:rsidRPr="000D7D27">
        <w:rPr>
          <w:rFonts w:ascii="Calibri" w:hAnsi="Calibri" w:cs="Times New Roman"/>
          <w:i/>
          <w:iCs/>
          <w:noProof/>
          <w:szCs w:val="24"/>
        </w:rPr>
        <w:t>Manejo Integrado de Plagas y Agroecología</w:t>
      </w:r>
      <w:r w:rsidRPr="000D7D27">
        <w:rPr>
          <w:rFonts w:ascii="Calibri" w:hAnsi="Calibri" w:cs="Times New Roman"/>
          <w:noProof/>
          <w:szCs w:val="24"/>
        </w:rPr>
        <w:t xml:space="preserve">, </w:t>
      </w:r>
      <w:r w:rsidRPr="000D7D27">
        <w:rPr>
          <w:rFonts w:ascii="Calibri" w:hAnsi="Calibri" w:cs="Times New Roman"/>
          <w:i/>
          <w:iCs/>
          <w:noProof/>
          <w:szCs w:val="24"/>
        </w:rPr>
        <w:t>64</w:t>
      </w:r>
      <w:r w:rsidRPr="000D7D27">
        <w:rPr>
          <w:rFonts w:ascii="Calibri" w:hAnsi="Calibri" w:cs="Times New Roman"/>
          <w:noProof/>
          <w:szCs w:val="24"/>
        </w:rPr>
        <w:t>, 17–24. agroeco3@nature.berkeley.edu</w:t>
      </w:r>
    </w:p>
    <w:p w14:paraId="6A78938E"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Burbano-Orjuela, H. (2017). LA CALIDAD Y SALUD DEL SUELO INFLUYEN SOBRE LA NATURALEZA Y LA SOCIEDAD. </w:t>
      </w:r>
      <w:r w:rsidRPr="000D7D27">
        <w:rPr>
          <w:rFonts w:ascii="Calibri" w:hAnsi="Calibri" w:cs="Times New Roman"/>
          <w:i/>
          <w:iCs/>
          <w:noProof/>
          <w:szCs w:val="24"/>
        </w:rPr>
        <w:t>Tendencias</w:t>
      </w:r>
      <w:r w:rsidRPr="000D7D27">
        <w:rPr>
          <w:rFonts w:ascii="Calibri" w:hAnsi="Calibri" w:cs="Times New Roman"/>
          <w:noProof/>
          <w:szCs w:val="24"/>
        </w:rPr>
        <w:t xml:space="preserve">, </w:t>
      </w:r>
      <w:r w:rsidRPr="000D7D27">
        <w:rPr>
          <w:rFonts w:ascii="Calibri" w:hAnsi="Calibri" w:cs="Times New Roman"/>
          <w:i/>
          <w:iCs/>
          <w:noProof/>
          <w:szCs w:val="24"/>
        </w:rPr>
        <w:t>18</w:t>
      </w:r>
      <w:r w:rsidRPr="000D7D27">
        <w:rPr>
          <w:rFonts w:ascii="Calibri" w:hAnsi="Calibri" w:cs="Times New Roman"/>
          <w:noProof/>
          <w:szCs w:val="24"/>
        </w:rPr>
        <w:t>(1), 118–126. https://doi.org/10.22267/RTEND.171801.68</w:t>
      </w:r>
    </w:p>
    <w:p w14:paraId="2EC198D6"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Burbano Orjuela, H. (2018). El carbono orgánico del suelo y su papel frente al cambio climático The soil organic carbon and its role on climate change. </w:t>
      </w:r>
      <w:r w:rsidRPr="000D7D27">
        <w:rPr>
          <w:rFonts w:ascii="Calibri" w:hAnsi="Calibri" w:cs="Times New Roman"/>
          <w:i/>
          <w:iCs/>
          <w:noProof/>
          <w:szCs w:val="24"/>
        </w:rPr>
        <w:t>Revista de Ciencias Agrícolas</w:t>
      </w:r>
      <w:r w:rsidRPr="000D7D27">
        <w:rPr>
          <w:rFonts w:ascii="Calibri" w:hAnsi="Calibri" w:cs="Times New Roman"/>
          <w:noProof/>
          <w:szCs w:val="24"/>
        </w:rPr>
        <w:t xml:space="preserve">, </w:t>
      </w:r>
      <w:r w:rsidRPr="000D7D27">
        <w:rPr>
          <w:rFonts w:ascii="Calibri" w:hAnsi="Calibri" w:cs="Times New Roman"/>
          <w:i/>
          <w:iCs/>
          <w:noProof/>
          <w:szCs w:val="24"/>
        </w:rPr>
        <w:t>34</w:t>
      </w:r>
      <w:r w:rsidRPr="000D7D27">
        <w:rPr>
          <w:rFonts w:ascii="Calibri" w:hAnsi="Calibri" w:cs="Times New Roman"/>
          <w:noProof/>
          <w:szCs w:val="24"/>
        </w:rPr>
        <w:t>(1), 82–96. https://doi.org/10.22267/rcia.183501.85</w:t>
      </w:r>
    </w:p>
    <w:p w14:paraId="541112F2"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Cevallos-Suarez, M., Urdaneta-Ortega, F., &amp; Jaimes, E. (2019). Desarrollo de sistemas de producción agroecológica: Dimensiones e indicadores para su estudio. </w:t>
      </w:r>
      <w:r w:rsidRPr="000D7D27">
        <w:rPr>
          <w:rFonts w:ascii="Calibri" w:hAnsi="Calibri" w:cs="Times New Roman"/>
          <w:i/>
          <w:iCs/>
          <w:noProof/>
          <w:szCs w:val="24"/>
        </w:rPr>
        <w:t>Revista de Ciencias Sociales (RCS)</w:t>
      </w:r>
      <w:r w:rsidRPr="000D7D27">
        <w:rPr>
          <w:rFonts w:ascii="Calibri" w:hAnsi="Calibri" w:cs="Times New Roman"/>
          <w:noProof/>
          <w:szCs w:val="24"/>
        </w:rPr>
        <w:t xml:space="preserve">, </w:t>
      </w:r>
      <w:r w:rsidRPr="000D7D27">
        <w:rPr>
          <w:rFonts w:ascii="Calibri" w:hAnsi="Calibri" w:cs="Times New Roman"/>
          <w:i/>
          <w:iCs/>
          <w:noProof/>
          <w:szCs w:val="24"/>
        </w:rPr>
        <w:t>25</w:t>
      </w:r>
      <w:r w:rsidRPr="000D7D27">
        <w:rPr>
          <w:rFonts w:ascii="Calibri" w:hAnsi="Calibri" w:cs="Times New Roman"/>
          <w:noProof/>
          <w:szCs w:val="24"/>
        </w:rPr>
        <w:t>(3), 172–185. http://creativecommons.org/licenses/by-nc-sa/3.0/deed.es_ESORCID:https://orcid.org/0000-0002-5378-7287http://orcid.org/0000-0003-3653-0241</w:t>
      </w:r>
    </w:p>
    <w:p w14:paraId="2E10B983"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Cevallos, M., Urdaneta, F., &amp; Jaimes, E. (2019). Desarrollo de sistemas de producción agroecológica: Dimensiones e indicadores para su estudio. </w:t>
      </w:r>
      <w:r w:rsidRPr="000D7D27">
        <w:rPr>
          <w:rFonts w:ascii="Calibri" w:hAnsi="Calibri" w:cs="Times New Roman"/>
          <w:i/>
          <w:iCs/>
          <w:noProof/>
          <w:szCs w:val="24"/>
        </w:rPr>
        <w:t>Revista de Ciencias Sociales</w:t>
      </w:r>
      <w:r w:rsidRPr="000D7D27">
        <w:rPr>
          <w:rFonts w:ascii="Calibri" w:hAnsi="Calibri" w:cs="Times New Roman"/>
          <w:noProof/>
          <w:szCs w:val="24"/>
        </w:rPr>
        <w:t xml:space="preserve">, </w:t>
      </w:r>
      <w:r w:rsidRPr="000D7D27">
        <w:rPr>
          <w:rFonts w:ascii="Calibri" w:hAnsi="Calibri" w:cs="Times New Roman"/>
          <w:i/>
          <w:iCs/>
          <w:noProof/>
          <w:szCs w:val="24"/>
        </w:rPr>
        <w:t>25</w:t>
      </w:r>
      <w:r w:rsidRPr="000D7D27">
        <w:rPr>
          <w:rFonts w:ascii="Calibri" w:hAnsi="Calibri" w:cs="Times New Roman"/>
          <w:noProof/>
          <w:szCs w:val="24"/>
        </w:rPr>
        <w:t>(3), 172–185. https://www.redalyc.org/journal/280/28060161012/html/</w:t>
      </w:r>
    </w:p>
    <w:p w14:paraId="52A9AA22"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Chávez Caiza, J. P., &amp; Burbano Rodríguez, R. T. (2021). Cambio climático y sistemas de producción agroecológico, orgánico y convencional en los cantones Cayambe y Pedro Moncayo. </w:t>
      </w:r>
      <w:r w:rsidRPr="000D7D27">
        <w:rPr>
          <w:rFonts w:ascii="Calibri" w:hAnsi="Calibri" w:cs="Times New Roman"/>
          <w:i/>
          <w:iCs/>
          <w:noProof/>
          <w:szCs w:val="24"/>
        </w:rPr>
        <w:t>Letras Verdes. Revista Latinoamericana de Estudios Socioambientales</w:t>
      </w:r>
      <w:r w:rsidRPr="000D7D27">
        <w:rPr>
          <w:rFonts w:ascii="Calibri" w:hAnsi="Calibri" w:cs="Times New Roman"/>
          <w:noProof/>
          <w:szCs w:val="24"/>
        </w:rPr>
        <w:t xml:space="preserve">, </w:t>
      </w:r>
      <w:r w:rsidRPr="000D7D27">
        <w:rPr>
          <w:rFonts w:ascii="Calibri" w:hAnsi="Calibri" w:cs="Times New Roman"/>
          <w:i/>
          <w:iCs/>
          <w:noProof/>
          <w:szCs w:val="24"/>
        </w:rPr>
        <w:t>29</w:t>
      </w:r>
      <w:r w:rsidRPr="000D7D27">
        <w:rPr>
          <w:rFonts w:ascii="Calibri" w:hAnsi="Calibri" w:cs="Times New Roman"/>
          <w:noProof/>
          <w:szCs w:val="24"/>
        </w:rPr>
        <w:t>, 149–166. https://doi.org/10.17141/letrasverdes.29.2021.4751</w:t>
      </w:r>
    </w:p>
    <w:p w14:paraId="51F0C87F"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Cuadras, A. A., Peinado-Guevara, V. M., Peinado-Guevara, H. J., López-López, J. de J., &amp; Herrera-Barrientos, J. (2021). Agricultura intensiva y calidad de suelos: retos para el desarrollo sustentable en Sinaloa. </w:t>
      </w:r>
      <w:r w:rsidRPr="000D7D27">
        <w:rPr>
          <w:rFonts w:ascii="Calibri" w:hAnsi="Calibri" w:cs="Times New Roman"/>
          <w:i/>
          <w:iCs/>
          <w:noProof/>
          <w:szCs w:val="24"/>
        </w:rPr>
        <w:t>Revista Mexicana de Ciencias Agrícolas</w:t>
      </w:r>
      <w:r w:rsidRPr="000D7D27">
        <w:rPr>
          <w:rFonts w:ascii="Calibri" w:hAnsi="Calibri" w:cs="Times New Roman"/>
          <w:noProof/>
          <w:szCs w:val="24"/>
        </w:rPr>
        <w:t xml:space="preserve">, </w:t>
      </w:r>
      <w:r w:rsidRPr="000D7D27">
        <w:rPr>
          <w:rFonts w:ascii="Calibri" w:hAnsi="Calibri" w:cs="Times New Roman"/>
          <w:i/>
          <w:iCs/>
          <w:noProof/>
          <w:szCs w:val="24"/>
        </w:rPr>
        <w:t>12</w:t>
      </w:r>
      <w:r w:rsidRPr="000D7D27">
        <w:rPr>
          <w:rFonts w:ascii="Calibri" w:hAnsi="Calibri" w:cs="Times New Roman"/>
          <w:noProof/>
          <w:szCs w:val="24"/>
        </w:rPr>
        <w:t>(8), 1401–1414. https://doi.org/10.29312/REMEXCA.V12I8.2704</w:t>
      </w:r>
    </w:p>
    <w:p w14:paraId="1D488A6E" w14:textId="77777777" w:rsidR="000D7D27" w:rsidRPr="00D0131E" w:rsidRDefault="000D7D27" w:rsidP="000D7D27">
      <w:pPr>
        <w:widowControl w:val="0"/>
        <w:autoSpaceDE w:val="0"/>
        <w:autoSpaceDN w:val="0"/>
        <w:adjustRightInd w:val="0"/>
        <w:spacing w:line="240" w:lineRule="auto"/>
        <w:ind w:left="480" w:hanging="480"/>
        <w:rPr>
          <w:rFonts w:ascii="Calibri" w:hAnsi="Calibri" w:cs="Times New Roman"/>
          <w:noProof/>
          <w:szCs w:val="24"/>
          <w:lang w:val="en-US"/>
        </w:rPr>
      </w:pPr>
      <w:r w:rsidRPr="00D0131E">
        <w:rPr>
          <w:rFonts w:ascii="Calibri" w:hAnsi="Calibri" w:cs="Times New Roman"/>
          <w:noProof/>
          <w:szCs w:val="24"/>
          <w:lang w:val="en-US"/>
        </w:rPr>
        <w:t xml:space="preserve">Dumont, A. M., Wartenberg, A. C., &amp; Baret, P. V. (2021). Bridging the gap between the agroecological ideal and its implementation into practice. A review. </w:t>
      </w:r>
      <w:r w:rsidRPr="00D0131E">
        <w:rPr>
          <w:rFonts w:ascii="Calibri" w:hAnsi="Calibri" w:cs="Times New Roman"/>
          <w:i/>
          <w:iCs/>
          <w:noProof/>
          <w:szCs w:val="24"/>
          <w:lang w:val="en-US"/>
        </w:rPr>
        <w:t>Agronomy for Sustainable Development</w:t>
      </w:r>
      <w:r w:rsidRPr="00D0131E">
        <w:rPr>
          <w:rFonts w:ascii="Calibri" w:hAnsi="Calibri" w:cs="Times New Roman"/>
          <w:noProof/>
          <w:szCs w:val="24"/>
          <w:lang w:val="en-US"/>
        </w:rPr>
        <w:t xml:space="preserve">, </w:t>
      </w:r>
      <w:r w:rsidRPr="00D0131E">
        <w:rPr>
          <w:rFonts w:ascii="Calibri" w:hAnsi="Calibri" w:cs="Times New Roman"/>
          <w:i/>
          <w:iCs/>
          <w:noProof/>
          <w:szCs w:val="24"/>
          <w:lang w:val="en-US"/>
        </w:rPr>
        <w:t>41</w:t>
      </w:r>
      <w:r w:rsidRPr="00D0131E">
        <w:rPr>
          <w:rFonts w:ascii="Calibri" w:hAnsi="Calibri" w:cs="Times New Roman"/>
          <w:noProof/>
          <w:szCs w:val="24"/>
          <w:lang w:val="en-US"/>
        </w:rPr>
        <w:t>(3). https://doi.org/10.1007/S13593-021-00666-3/FIGURES/4</w:t>
      </w:r>
    </w:p>
    <w:p w14:paraId="02F34CB8"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FAO. (2024). </w:t>
      </w:r>
      <w:r w:rsidRPr="000D7D27">
        <w:rPr>
          <w:rFonts w:ascii="Calibri" w:hAnsi="Calibri" w:cs="Times New Roman"/>
          <w:i/>
          <w:iCs/>
          <w:noProof/>
          <w:szCs w:val="24"/>
        </w:rPr>
        <w:t>La agroecología y los Objetivos de Desarrollo Sostenible</w:t>
      </w:r>
      <w:r w:rsidRPr="000D7D27">
        <w:rPr>
          <w:rFonts w:ascii="Calibri" w:hAnsi="Calibri" w:cs="Times New Roman"/>
          <w:noProof/>
          <w:szCs w:val="24"/>
        </w:rPr>
        <w:t>. https://www.fao.org/agroecology/overview/agroecology-and-the-sustainable-development-goals/es/</w:t>
      </w:r>
    </w:p>
    <w:p w14:paraId="4AD2EF82" w14:textId="0E476DFC" w:rsid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D0131E">
        <w:rPr>
          <w:rFonts w:ascii="Calibri" w:hAnsi="Calibri" w:cs="Times New Roman"/>
          <w:noProof/>
          <w:szCs w:val="24"/>
          <w:lang w:val="en-US"/>
        </w:rPr>
        <w:t xml:space="preserve">FAO, WHO, IFAD, UNICEF, &amp; WFP. </w:t>
      </w:r>
      <w:r w:rsidRPr="000D7D27">
        <w:rPr>
          <w:rFonts w:ascii="Calibri" w:hAnsi="Calibri" w:cs="Times New Roman"/>
          <w:noProof/>
          <w:szCs w:val="24"/>
        </w:rPr>
        <w:t xml:space="preserve">(2022). </w:t>
      </w:r>
      <w:r w:rsidRPr="000D7D27">
        <w:rPr>
          <w:rFonts w:ascii="Calibri" w:hAnsi="Calibri" w:cs="Times New Roman"/>
          <w:i/>
          <w:iCs/>
          <w:noProof/>
          <w:szCs w:val="24"/>
        </w:rPr>
        <w:t>The State of Food Security and Nutrition in the World 2022</w:t>
      </w:r>
      <w:r w:rsidRPr="000D7D27">
        <w:rPr>
          <w:rFonts w:ascii="Calibri" w:hAnsi="Calibri" w:cs="Times New Roman"/>
          <w:noProof/>
          <w:szCs w:val="24"/>
        </w:rPr>
        <w:t xml:space="preserve"> (Organización de las Naciones Unidas para la Alimentación y la Agricultura (Ed.)).</w:t>
      </w:r>
    </w:p>
    <w:p w14:paraId="65531052" w14:textId="13CBF7BD"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Florencia. (2021). Utilización de plantas aromáticas y medicinales en producción hortícola periurbana como parte del proceso de transición agroecológica. </w:t>
      </w:r>
      <w:r w:rsidRPr="000D7D27">
        <w:rPr>
          <w:rFonts w:ascii="Calibri" w:hAnsi="Calibri" w:cs="Times New Roman"/>
          <w:noProof/>
          <w:szCs w:val="24"/>
        </w:rPr>
        <w:lastRenderedPageBreak/>
        <w:t>http://sedici.unlp.edu.ar/handle/10915/119482</w:t>
      </w:r>
    </w:p>
    <w:p w14:paraId="193B1EB4"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Gonzáles-Pedraza, A. F., Castellanos, L., &amp; Capacho, A. E. (2023). </w:t>
      </w:r>
      <w:r w:rsidRPr="000D7D27">
        <w:rPr>
          <w:rFonts w:ascii="Calibri" w:hAnsi="Calibri" w:cs="Times New Roman"/>
          <w:i/>
          <w:iCs/>
          <w:noProof/>
          <w:szCs w:val="24"/>
        </w:rPr>
        <w:t>Influencia de tres modelos agroecológicos sobre la calidad del suelo en el municipio de Ocaña, Norte de Santander</w:t>
      </w:r>
      <w:r w:rsidRPr="000D7D27">
        <w:rPr>
          <w:rFonts w:ascii="Calibri" w:hAnsi="Calibri" w:cs="Times New Roman"/>
          <w:noProof/>
          <w:szCs w:val="24"/>
        </w:rPr>
        <w:t xml:space="preserve"> (1st ed.). Editorial Unipamplona. http://repositoriodspace.unipamplona.edu.co/jspui/handle/20.500.12744/7269</w:t>
      </w:r>
    </w:p>
    <w:p w14:paraId="0C15AD05"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Gutiérrez, J., Aguilera, L., &amp; Gónzalez, C. (2008). Agroecología y sustentabilidad. </w:t>
      </w:r>
      <w:r w:rsidRPr="000D7D27">
        <w:rPr>
          <w:rFonts w:ascii="Calibri" w:hAnsi="Calibri" w:cs="Times New Roman"/>
          <w:i/>
          <w:iCs/>
          <w:noProof/>
          <w:szCs w:val="24"/>
        </w:rPr>
        <w:t>Convergencia</w:t>
      </w:r>
      <w:r w:rsidRPr="000D7D27">
        <w:rPr>
          <w:rFonts w:ascii="Calibri" w:hAnsi="Calibri" w:cs="Times New Roman"/>
          <w:noProof/>
          <w:szCs w:val="24"/>
        </w:rPr>
        <w:t xml:space="preserve">, </w:t>
      </w:r>
      <w:r w:rsidRPr="000D7D27">
        <w:rPr>
          <w:rFonts w:ascii="Calibri" w:hAnsi="Calibri" w:cs="Times New Roman"/>
          <w:i/>
          <w:iCs/>
          <w:noProof/>
          <w:szCs w:val="24"/>
        </w:rPr>
        <w:t>15</w:t>
      </w:r>
      <w:r w:rsidRPr="000D7D27">
        <w:rPr>
          <w:rFonts w:ascii="Calibri" w:hAnsi="Calibri" w:cs="Times New Roman"/>
          <w:noProof/>
          <w:szCs w:val="24"/>
        </w:rPr>
        <w:t>(46), 51–87. https://www.scielo.org.mx/scielo.php?pid=S1405-14352008000100004&amp;script=sci_abstract</w:t>
      </w:r>
    </w:p>
    <w:p w14:paraId="369B5330"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D0131E">
        <w:rPr>
          <w:rFonts w:ascii="Calibri" w:hAnsi="Calibri" w:cs="Times New Roman"/>
          <w:noProof/>
          <w:szCs w:val="24"/>
          <w:lang w:val="en-US"/>
        </w:rPr>
        <w:t xml:space="preserve">Henao, A., Altieri, M., &amp; Nicholls, C. (2016). </w:t>
      </w:r>
      <w:r w:rsidRPr="000D7D27">
        <w:rPr>
          <w:rFonts w:ascii="Calibri" w:hAnsi="Calibri" w:cs="Times New Roman"/>
          <w:noProof/>
          <w:szCs w:val="24"/>
        </w:rPr>
        <w:t xml:space="preserve">Herramienta didáctica para evaluar y manejar sistemas resilientes. </w:t>
      </w:r>
      <w:r w:rsidRPr="000D7D27">
        <w:rPr>
          <w:rFonts w:ascii="Calibri" w:hAnsi="Calibri" w:cs="Times New Roman"/>
          <w:i/>
          <w:iCs/>
          <w:noProof/>
          <w:szCs w:val="24"/>
        </w:rPr>
        <w:t>Socla - Redagres</w:t>
      </w:r>
      <w:r w:rsidRPr="000D7D27">
        <w:rPr>
          <w:rFonts w:ascii="Calibri" w:hAnsi="Calibri" w:cs="Times New Roman"/>
          <w:noProof/>
          <w:szCs w:val="24"/>
        </w:rPr>
        <w:t>. https://www.researchgate.net/publication/303551477_Herramienta_didactica_para_evaluar_y_manejar_sistemas_resilientes#fullTextFileContent</w:t>
      </w:r>
    </w:p>
    <w:p w14:paraId="7FD31F04"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Hernández, G. (2022). </w:t>
      </w:r>
      <w:r w:rsidRPr="000D7D27">
        <w:rPr>
          <w:rFonts w:ascii="Calibri" w:hAnsi="Calibri" w:cs="Times New Roman"/>
          <w:i/>
          <w:iCs/>
          <w:noProof/>
          <w:szCs w:val="24"/>
        </w:rPr>
        <w:t>Análisis del beneficio de la producción de hortalizas en el sector rural</w:t>
      </w:r>
      <w:r w:rsidRPr="000D7D27">
        <w:rPr>
          <w:rFonts w:ascii="Calibri" w:hAnsi="Calibri" w:cs="Times New Roman"/>
          <w:noProof/>
          <w:szCs w:val="24"/>
        </w:rPr>
        <w:t xml:space="preserve"> [BABAHOYO: UTB, 2022]. http://dspace.utb.edu.ec/handle/49000/13264</w:t>
      </w:r>
    </w:p>
    <w:p w14:paraId="6159E0B3"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Iermanó, M., &amp; Sarandón, S. (2016). Rol de la agrobiodiversidad en sistemas mixtos familiares de agricultura y ganadería pastoril en la región pampeana argentina: su importancia para la sustentabilidad de los agroecosistemas. </w:t>
      </w:r>
      <w:r w:rsidRPr="000D7D27">
        <w:rPr>
          <w:rFonts w:ascii="Calibri" w:hAnsi="Calibri" w:cs="Times New Roman"/>
          <w:i/>
          <w:iCs/>
          <w:noProof/>
          <w:szCs w:val="24"/>
        </w:rPr>
        <w:t>Revista Brasileira de Agroecologia</w:t>
      </w:r>
      <w:r w:rsidRPr="000D7D27">
        <w:rPr>
          <w:rFonts w:ascii="Calibri" w:hAnsi="Calibri" w:cs="Times New Roman"/>
          <w:noProof/>
          <w:szCs w:val="24"/>
        </w:rPr>
        <w:t xml:space="preserve">, </w:t>
      </w:r>
      <w:r w:rsidRPr="000D7D27">
        <w:rPr>
          <w:rFonts w:ascii="Calibri" w:hAnsi="Calibri" w:cs="Times New Roman"/>
          <w:i/>
          <w:iCs/>
          <w:noProof/>
          <w:szCs w:val="24"/>
        </w:rPr>
        <w:t>11</w:t>
      </w:r>
      <w:r w:rsidRPr="000D7D27">
        <w:rPr>
          <w:rFonts w:ascii="Calibri" w:hAnsi="Calibri" w:cs="Times New Roman"/>
          <w:noProof/>
          <w:szCs w:val="24"/>
        </w:rPr>
        <w:t>(2), 94–103. https://ri.conicet.gov.ar/bitstream/handle/11336/39527/CONICET_Digital_Nro.9e59047a-096e-4b97-ab67-7dc12bfe0358_A.pdf?sequence=2&amp;isAllowed=y</w:t>
      </w:r>
    </w:p>
    <w:p w14:paraId="500E23CB" w14:textId="77777777" w:rsidR="000D7D27" w:rsidRPr="00D0131E" w:rsidRDefault="000D7D27" w:rsidP="000D7D27">
      <w:pPr>
        <w:widowControl w:val="0"/>
        <w:autoSpaceDE w:val="0"/>
        <w:autoSpaceDN w:val="0"/>
        <w:adjustRightInd w:val="0"/>
        <w:spacing w:line="240" w:lineRule="auto"/>
        <w:ind w:left="480" w:hanging="480"/>
        <w:rPr>
          <w:rFonts w:ascii="Calibri" w:hAnsi="Calibri" w:cs="Times New Roman"/>
          <w:noProof/>
          <w:szCs w:val="24"/>
          <w:lang w:val="en-US"/>
        </w:rPr>
      </w:pPr>
      <w:r w:rsidRPr="000D7D27">
        <w:rPr>
          <w:rFonts w:ascii="Calibri" w:hAnsi="Calibri" w:cs="Times New Roman"/>
          <w:noProof/>
          <w:szCs w:val="24"/>
        </w:rPr>
        <w:t xml:space="preserve">López-Sánchez, A., Luque-Badillo, A. C., Orozco-Nunnelly, D., Alencastro-Larios, N. S., Ruiz-Gómez, J. A., García-Cayuela, T., &amp; Gradilla-Hernández, M. S. (2021). </w:t>
      </w:r>
      <w:r w:rsidRPr="00D0131E">
        <w:rPr>
          <w:rFonts w:ascii="Calibri" w:hAnsi="Calibri" w:cs="Times New Roman"/>
          <w:noProof/>
          <w:szCs w:val="24"/>
          <w:lang w:val="en-US"/>
        </w:rPr>
        <w:t xml:space="preserve">Food loss in the agricultural sector of a developing country: Transitioning to a more sustainable approach. The case of Jalisco, Mexico. </w:t>
      </w:r>
      <w:r w:rsidRPr="00D0131E">
        <w:rPr>
          <w:rFonts w:ascii="Calibri" w:hAnsi="Calibri" w:cs="Times New Roman"/>
          <w:i/>
          <w:iCs/>
          <w:noProof/>
          <w:szCs w:val="24"/>
          <w:lang w:val="en-US"/>
        </w:rPr>
        <w:t>Environmental Challenges</w:t>
      </w:r>
      <w:r w:rsidRPr="00D0131E">
        <w:rPr>
          <w:rFonts w:ascii="Calibri" w:hAnsi="Calibri" w:cs="Times New Roman"/>
          <w:noProof/>
          <w:szCs w:val="24"/>
          <w:lang w:val="en-US"/>
        </w:rPr>
        <w:t xml:space="preserve">, </w:t>
      </w:r>
      <w:r w:rsidRPr="00D0131E">
        <w:rPr>
          <w:rFonts w:ascii="Calibri" w:hAnsi="Calibri" w:cs="Times New Roman"/>
          <w:i/>
          <w:iCs/>
          <w:noProof/>
          <w:szCs w:val="24"/>
          <w:lang w:val="en-US"/>
        </w:rPr>
        <w:t>5</w:t>
      </w:r>
      <w:r w:rsidRPr="00D0131E">
        <w:rPr>
          <w:rFonts w:ascii="Calibri" w:hAnsi="Calibri" w:cs="Times New Roman"/>
          <w:noProof/>
          <w:szCs w:val="24"/>
          <w:lang w:val="en-US"/>
        </w:rPr>
        <w:t>, 100327. https://doi.org/10.1016/J.ENVC.2021.100327</w:t>
      </w:r>
    </w:p>
    <w:p w14:paraId="49800ABF"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Macas, B., &amp; Echarry, K. (2009). Caracterización de mercados locales agroecológicos y sistemas participativos de garantía que se construyen en el Ecuador. In </w:t>
      </w:r>
      <w:r w:rsidRPr="000D7D27">
        <w:rPr>
          <w:rFonts w:ascii="Calibri" w:hAnsi="Calibri" w:cs="Times New Roman"/>
          <w:i/>
          <w:iCs/>
          <w:noProof/>
          <w:szCs w:val="24"/>
        </w:rPr>
        <w:t>Coordinadora Ecuatoriana de Agroecología</w:t>
      </w:r>
      <w:r w:rsidRPr="000D7D27">
        <w:rPr>
          <w:rFonts w:ascii="Calibri" w:hAnsi="Calibri" w:cs="Times New Roman"/>
          <w:noProof/>
          <w:szCs w:val="24"/>
        </w:rPr>
        <w:t>. http://infoandina.org/infoandina/sites/default/files/forum_topic/files/lectura_3_caracterizacicn_de_mercados_locales_macas_y_echarry.pdf</w:t>
      </w:r>
    </w:p>
    <w:p w14:paraId="50291FB9"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Machado, M. M., Nicholls, C. I., Márquez, S. M., &amp; Turbay, S. (2015). Caracterización de nueve agroecosistemas de café de la cuenca del río Porce, Colombia, con un enfoque agroecológico. </w:t>
      </w:r>
      <w:r w:rsidRPr="000D7D27">
        <w:rPr>
          <w:rFonts w:ascii="Calibri" w:hAnsi="Calibri" w:cs="Times New Roman"/>
          <w:i/>
          <w:iCs/>
          <w:noProof/>
          <w:szCs w:val="24"/>
        </w:rPr>
        <w:t>Idesia (Arica)</w:t>
      </w:r>
      <w:r w:rsidRPr="000D7D27">
        <w:rPr>
          <w:rFonts w:ascii="Calibri" w:hAnsi="Calibri" w:cs="Times New Roman"/>
          <w:noProof/>
          <w:szCs w:val="24"/>
        </w:rPr>
        <w:t xml:space="preserve">, </w:t>
      </w:r>
      <w:r w:rsidRPr="000D7D27">
        <w:rPr>
          <w:rFonts w:ascii="Calibri" w:hAnsi="Calibri" w:cs="Times New Roman"/>
          <w:i/>
          <w:iCs/>
          <w:noProof/>
          <w:szCs w:val="24"/>
        </w:rPr>
        <w:t>33</w:t>
      </w:r>
      <w:r w:rsidRPr="000D7D27">
        <w:rPr>
          <w:rFonts w:ascii="Calibri" w:hAnsi="Calibri" w:cs="Times New Roman"/>
          <w:noProof/>
          <w:szCs w:val="24"/>
        </w:rPr>
        <w:t>(1), 69–83. https://doi.org/10.4067/S0718-34292015000100008</w:t>
      </w:r>
    </w:p>
    <w:p w14:paraId="54B2C9FB"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Navas, A. (2022). Percepciones de pequeños productores sobre cambios en el clima y su efecto en sistemas de producción de leche. </w:t>
      </w:r>
      <w:r w:rsidRPr="000D7D27">
        <w:rPr>
          <w:rFonts w:ascii="Calibri" w:hAnsi="Calibri" w:cs="Times New Roman"/>
          <w:i/>
          <w:iCs/>
          <w:noProof/>
          <w:szCs w:val="24"/>
        </w:rPr>
        <w:t>Revista de Investigaciones Veterinarias Del Perú</w:t>
      </w:r>
      <w:r w:rsidRPr="000D7D27">
        <w:rPr>
          <w:rFonts w:ascii="Calibri" w:hAnsi="Calibri" w:cs="Times New Roman"/>
          <w:noProof/>
          <w:szCs w:val="24"/>
        </w:rPr>
        <w:t xml:space="preserve">, </w:t>
      </w:r>
      <w:r w:rsidRPr="000D7D27">
        <w:rPr>
          <w:rFonts w:ascii="Calibri" w:hAnsi="Calibri" w:cs="Times New Roman"/>
          <w:i/>
          <w:iCs/>
          <w:noProof/>
          <w:szCs w:val="24"/>
        </w:rPr>
        <w:t>33</w:t>
      </w:r>
      <w:r w:rsidRPr="000D7D27">
        <w:rPr>
          <w:rFonts w:ascii="Calibri" w:hAnsi="Calibri" w:cs="Times New Roman"/>
          <w:noProof/>
          <w:szCs w:val="24"/>
        </w:rPr>
        <w:t>(2). https://doi.org/10.15381/RIVEP.V33I2.20543</w:t>
      </w:r>
    </w:p>
    <w:p w14:paraId="69FB90DA"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D0131E">
        <w:rPr>
          <w:rFonts w:ascii="Calibri" w:hAnsi="Calibri" w:cs="Times New Roman"/>
          <w:noProof/>
          <w:szCs w:val="24"/>
          <w:lang w:val="en-US"/>
        </w:rPr>
        <w:t xml:space="preserve">Nicholls, C. I., &amp; Altieri, M. A. (2019). </w:t>
      </w:r>
      <w:r w:rsidRPr="000D7D27">
        <w:rPr>
          <w:rFonts w:ascii="Calibri" w:hAnsi="Calibri" w:cs="Times New Roman"/>
          <w:i/>
          <w:iCs/>
          <w:noProof/>
          <w:szCs w:val="24"/>
        </w:rPr>
        <w:t>Bases agroecológicas para la adaptación de la agricultura al cambio climático</w:t>
      </w:r>
      <w:r w:rsidRPr="000D7D27">
        <w:rPr>
          <w:rFonts w:ascii="Calibri" w:hAnsi="Calibri" w:cs="Times New Roman"/>
          <w:noProof/>
          <w:szCs w:val="24"/>
        </w:rPr>
        <w:t xml:space="preserve">. </w:t>
      </w:r>
      <w:r w:rsidRPr="000D7D27">
        <w:rPr>
          <w:rFonts w:ascii="Calibri" w:hAnsi="Calibri" w:cs="Times New Roman"/>
          <w:i/>
          <w:iCs/>
          <w:noProof/>
          <w:szCs w:val="24"/>
        </w:rPr>
        <w:t>11</w:t>
      </w:r>
      <w:r w:rsidRPr="000D7D27">
        <w:rPr>
          <w:rFonts w:ascii="Calibri" w:hAnsi="Calibri" w:cs="Times New Roman"/>
          <w:noProof/>
          <w:szCs w:val="24"/>
        </w:rPr>
        <w:t>(1). https://www.scielo.sa.cr/pdf/cinn/v11n1/1659-4266-cinn-11-01-55.pdf</w:t>
      </w:r>
    </w:p>
    <w:p w14:paraId="72F0DFE5"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Noguera-Talavera, Á., Salmerón, F., &amp; Reyes-Sánchez, N. (2019). Bases teórico-metodológicas para el diseño de sistemasagroecológicos. </w:t>
      </w:r>
      <w:r w:rsidRPr="000D7D27">
        <w:rPr>
          <w:rFonts w:ascii="Calibri" w:hAnsi="Calibri" w:cs="Times New Roman"/>
          <w:i/>
          <w:iCs/>
          <w:noProof/>
          <w:szCs w:val="24"/>
        </w:rPr>
        <w:t>Revista de La Facultad de Ciencias Agrarias</w:t>
      </w:r>
      <w:r w:rsidRPr="000D7D27">
        <w:rPr>
          <w:rFonts w:ascii="Calibri" w:hAnsi="Calibri" w:cs="Times New Roman"/>
          <w:noProof/>
          <w:szCs w:val="24"/>
        </w:rPr>
        <w:t xml:space="preserve">, </w:t>
      </w:r>
      <w:r w:rsidRPr="000D7D27">
        <w:rPr>
          <w:rFonts w:ascii="Calibri" w:hAnsi="Calibri" w:cs="Times New Roman"/>
          <w:i/>
          <w:iCs/>
          <w:noProof/>
          <w:szCs w:val="24"/>
        </w:rPr>
        <w:t>51</w:t>
      </w:r>
      <w:r w:rsidRPr="000D7D27">
        <w:rPr>
          <w:rFonts w:ascii="Calibri" w:hAnsi="Calibri" w:cs="Times New Roman"/>
          <w:noProof/>
          <w:szCs w:val="24"/>
        </w:rPr>
        <w:t>(1), 273–293.</w:t>
      </w:r>
    </w:p>
    <w:p w14:paraId="1DCA5931"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lastRenderedPageBreak/>
        <w:t xml:space="preserve">Rosset, P. (1998). La crisis de la agricultura convencional, la sustitución de insumos y el enfoque agroecológico. </w:t>
      </w:r>
      <w:r w:rsidRPr="000D7D27">
        <w:rPr>
          <w:rFonts w:ascii="Calibri" w:hAnsi="Calibri" w:cs="Times New Roman"/>
          <w:i/>
          <w:iCs/>
          <w:noProof/>
          <w:szCs w:val="24"/>
        </w:rPr>
        <w:t>Revista de CLADES</w:t>
      </w:r>
      <w:r w:rsidRPr="000D7D27">
        <w:rPr>
          <w:rFonts w:ascii="Calibri" w:hAnsi="Calibri" w:cs="Times New Roman"/>
          <w:noProof/>
          <w:szCs w:val="24"/>
        </w:rPr>
        <w:t>, 16. https://www.academia.edu/2891762/La_crisis_de_la_agricultura_convencional_la_sustitución_de_insumos_y_el_enfoque_agroecológico</w:t>
      </w:r>
    </w:p>
    <w:p w14:paraId="76CC7029"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Ruiz, E., &amp; Molina, D. (2013). Revisión de literatura sobre beneficios asociados al uso de coberturas leguminosas en palma de aceite y otros cultivos permanentes. </w:t>
      </w:r>
      <w:r w:rsidRPr="000D7D27">
        <w:rPr>
          <w:rFonts w:ascii="Calibri" w:hAnsi="Calibri" w:cs="Times New Roman"/>
          <w:i/>
          <w:iCs/>
          <w:noProof/>
          <w:szCs w:val="24"/>
        </w:rPr>
        <w:t>Palmas</w:t>
      </w:r>
      <w:r w:rsidRPr="000D7D27">
        <w:rPr>
          <w:rFonts w:ascii="Calibri" w:hAnsi="Calibri" w:cs="Times New Roman"/>
          <w:noProof/>
          <w:szCs w:val="24"/>
        </w:rPr>
        <w:t xml:space="preserve">, </w:t>
      </w:r>
      <w:r w:rsidRPr="000D7D27">
        <w:rPr>
          <w:rFonts w:ascii="Calibri" w:hAnsi="Calibri" w:cs="Times New Roman"/>
          <w:i/>
          <w:iCs/>
          <w:noProof/>
          <w:szCs w:val="24"/>
        </w:rPr>
        <w:t>35</w:t>
      </w:r>
      <w:r w:rsidRPr="000D7D27">
        <w:rPr>
          <w:rFonts w:ascii="Calibri" w:hAnsi="Calibri" w:cs="Times New Roman"/>
          <w:noProof/>
          <w:szCs w:val="24"/>
        </w:rPr>
        <w:t>(1), 53–64. https://publicaciones.fedepalma.org/index.php/palmas/article/view/10947/10931</w:t>
      </w:r>
    </w:p>
    <w:p w14:paraId="1BF7BA0D"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Ruiz V., J., Bravo E., M., &amp; Loaeza R., G. (2001). Cubiertas vegetales y barreras vivas: tecnologías con potencial para reducir la erosión en Oaxaca, México. </w:t>
      </w:r>
      <w:r w:rsidRPr="000D7D27">
        <w:rPr>
          <w:rFonts w:ascii="Calibri" w:hAnsi="Calibri" w:cs="Times New Roman"/>
          <w:i/>
          <w:iCs/>
          <w:noProof/>
          <w:szCs w:val="24"/>
        </w:rPr>
        <w:t>Terra Latinoamericana</w:t>
      </w:r>
      <w:r w:rsidRPr="000D7D27">
        <w:rPr>
          <w:rFonts w:ascii="Calibri" w:hAnsi="Calibri" w:cs="Times New Roman"/>
          <w:noProof/>
          <w:szCs w:val="24"/>
        </w:rPr>
        <w:t xml:space="preserve">, </w:t>
      </w:r>
      <w:r w:rsidRPr="000D7D27">
        <w:rPr>
          <w:rFonts w:ascii="Calibri" w:hAnsi="Calibri" w:cs="Times New Roman"/>
          <w:i/>
          <w:iCs/>
          <w:noProof/>
          <w:szCs w:val="24"/>
        </w:rPr>
        <w:t>19</w:t>
      </w:r>
      <w:r w:rsidRPr="000D7D27">
        <w:rPr>
          <w:rFonts w:ascii="Calibri" w:hAnsi="Calibri" w:cs="Times New Roman"/>
          <w:noProof/>
          <w:szCs w:val="24"/>
        </w:rPr>
        <w:t>(1), 89–95.</w:t>
      </w:r>
    </w:p>
    <w:p w14:paraId="09A94098"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Sarandón, S. (2021). Agroecología: una revolución del pensamiento en las ciencias agrarias. </w:t>
      </w:r>
      <w:r w:rsidRPr="000D7D27">
        <w:rPr>
          <w:rFonts w:ascii="Calibri" w:hAnsi="Calibri" w:cs="Times New Roman"/>
          <w:i/>
          <w:iCs/>
          <w:noProof/>
          <w:szCs w:val="24"/>
        </w:rPr>
        <w:t>Ciencia Tecnología y Política</w:t>
      </w:r>
      <w:r w:rsidRPr="000D7D27">
        <w:rPr>
          <w:rFonts w:ascii="Calibri" w:hAnsi="Calibri" w:cs="Times New Roman"/>
          <w:noProof/>
          <w:szCs w:val="24"/>
        </w:rPr>
        <w:t xml:space="preserve">, </w:t>
      </w:r>
      <w:r w:rsidRPr="000D7D27">
        <w:rPr>
          <w:rFonts w:ascii="Calibri" w:hAnsi="Calibri" w:cs="Times New Roman"/>
          <w:i/>
          <w:iCs/>
          <w:noProof/>
          <w:szCs w:val="24"/>
        </w:rPr>
        <w:t>4</w:t>
      </w:r>
      <w:r w:rsidRPr="000D7D27">
        <w:rPr>
          <w:rFonts w:ascii="Calibri" w:hAnsi="Calibri" w:cs="Times New Roman"/>
          <w:noProof/>
          <w:szCs w:val="24"/>
        </w:rPr>
        <w:t>(6), 0–10.</w:t>
      </w:r>
    </w:p>
    <w:p w14:paraId="3D1FBFB7"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Socarrás, A., &amp; Izquierdo, I. (2014). Evaluación de sistemas agroecológicos mediante indicadores biológicos de la calidad del suelo: mesofauna edáfica. </w:t>
      </w:r>
      <w:r w:rsidRPr="000D7D27">
        <w:rPr>
          <w:rFonts w:ascii="Calibri" w:hAnsi="Calibri" w:cs="Times New Roman"/>
          <w:i/>
          <w:iCs/>
          <w:noProof/>
          <w:szCs w:val="24"/>
        </w:rPr>
        <w:t>Pastos y Forrajes</w:t>
      </w:r>
      <w:r w:rsidRPr="000D7D27">
        <w:rPr>
          <w:rFonts w:ascii="Calibri" w:hAnsi="Calibri" w:cs="Times New Roman"/>
          <w:noProof/>
          <w:szCs w:val="24"/>
        </w:rPr>
        <w:t xml:space="preserve">, </w:t>
      </w:r>
      <w:r w:rsidRPr="000D7D27">
        <w:rPr>
          <w:rFonts w:ascii="Calibri" w:hAnsi="Calibri" w:cs="Times New Roman"/>
          <w:i/>
          <w:iCs/>
          <w:noProof/>
          <w:szCs w:val="24"/>
        </w:rPr>
        <w:t>37</w:t>
      </w:r>
      <w:r w:rsidRPr="000D7D27">
        <w:rPr>
          <w:rFonts w:ascii="Calibri" w:hAnsi="Calibri" w:cs="Times New Roman"/>
          <w:noProof/>
          <w:szCs w:val="24"/>
        </w:rPr>
        <w:t>(1), 47–54. http://scielo.sld.cu/scielo.php?script=sci_arttext&amp;pid=S0864-03942014000100006&amp;lng=es&amp;nrm=iso&amp;tlng=es</w:t>
      </w:r>
    </w:p>
    <w:p w14:paraId="060AA7AD"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Toledo, V. M. (2005). La memoria tradicional: la importancia agroecológica de los saberes locales. </w:t>
      </w:r>
      <w:r w:rsidRPr="000D7D27">
        <w:rPr>
          <w:rFonts w:ascii="Calibri" w:hAnsi="Calibri" w:cs="Times New Roman"/>
          <w:i/>
          <w:iCs/>
          <w:noProof/>
          <w:szCs w:val="24"/>
        </w:rPr>
        <w:t>LEISA Revista de Agroecología</w:t>
      </w:r>
      <w:r w:rsidRPr="000D7D27">
        <w:rPr>
          <w:rFonts w:ascii="Calibri" w:hAnsi="Calibri" w:cs="Times New Roman"/>
          <w:noProof/>
          <w:szCs w:val="24"/>
        </w:rPr>
        <w:t>, 17–19. www.ethnologue.com</w:t>
      </w:r>
    </w:p>
    <w:p w14:paraId="61CF434E"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Tonolli, A., Sarandón, S., &amp; Greco, S. (2019). Algunos aspectos emergentes y de importancia para la construcción del enfoque agroecológico. </w:t>
      </w:r>
      <w:r w:rsidRPr="000D7D27">
        <w:rPr>
          <w:rFonts w:ascii="Calibri" w:hAnsi="Calibri" w:cs="Times New Roman"/>
          <w:i/>
          <w:iCs/>
          <w:noProof/>
          <w:szCs w:val="24"/>
        </w:rPr>
        <w:t>Revista de La Facultad de Ciencias Agrarias</w:t>
      </w:r>
      <w:r w:rsidRPr="000D7D27">
        <w:rPr>
          <w:rFonts w:ascii="Calibri" w:hAnsi="Calibri" w:cs="Times New Roman"/>
          <w:noProof/>
          <w:szCs w:val="24"/>
        </w:rPr>
        <w:t xml:space="preserve">, </w:t>
      </w:r>
      <w:r w:rsidRPr="000D7D27">
        <w:rPr>
          <w:rFonts w:ascii="Calibri" w:hAnsi="Calibri" w:cs="Times New Roman"/>
          <w:i/>
          <w:iCs/>
          <w:noProof/>
          <w:szCs w:val="24"/>
        </w:rPr>
        <w:t>51</w:t>
      </w:r>
      <w:r w:rsidRPr="000D7D27">
        <w:rPr>
          <w:rFonts w:ascii="Calibri" w:hAnsi="Calibri" w:cs="Times New Roman"/>
          <w:noProof/>
          <w:szCs w:val="24"/>
        </w:rPr>
        <w:t>(1), 208–212.</w:t>
      </w:r>
    </w:p>
    <w:p w14:paraId="6755EEA9"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Villacis-Aldás, L. A., León-Gordón, O. A., Lascano-Muñoz, M. K., &amp; Arieda-Rojas, J. R. (2024). Sistemas y subsistemas agroecologicos y agroforestales. </w:t>
      </w:r>
      <w:r w:rsidRPr="000D7D27">
        <w:rPr>
          <w:rFonts w:ascii="Calibri" w:hAnsi="Calibri" w:cs="Times New Roman"/>
          <w:i/>
          <w:iCs/>
          <w:noProof/>
          <w:szCs w:val="24"/>
        </w:rPr>
        <w:t>Revista Científica Arbitrada Multidisciplinaria PENTACIENCIAS</w:t>
      </w:r>
      <w:r w:rsidRPr="000D7D27">
        <w:rPr>
          <w:rFonts w:ascii="Calibri" w:hAnsi="Calibri" w:cs="Times New Roman"/>
          <w:noProof/>
          <w:szCs w:val="24"/>
        </w:rPr>
        <w:t xml:space="preserve">, </w:t>
      </w:r>
      <w:r w:rsidRPr="000D7D27">
        <w:rPr>
          <w:rFonts w:ascii="Calibri" w:hAnsi="Calibri" w:cs="Times New Roman"/>
          <w:i/>
          <w:iCs/>
          <w:noProof/>
          <w:szCs w:val="24"/>
        </w:rPr>
        <w:t>6</w:t>
      </w:r>
      <w:r w:rsidRPr="000D7D27">
        <w:rPr>
          <w:rFonts w:ascii="Calibri" w:hAnsi="Calibri" w:cs="Times New Roman"/>
          <w:noProof/>
          <w:szCs w:val="24"/>
        </w:rPr>
        <w:t>(2), 220–227. https://www.editorialalema.org/index.php/pentaciencias/article/view/1042/1433</w:t>
      </w:r>
    </w:p>
    <w:p w14:paraId="66B1B5BD" w14:textId="77777777" w:rsidR="000D7D27" w:rsidRPr="000D7D27" w:rsidRDefault="000D7D27" w:rsidP="000D7D27">
      <w:pPr>
        <w:widowControl w:val="0"/>
        <w:autoSpaceDE w:val="0"/>
        <w:autoSpaceDN w:val="0"/>
        <w:adjustRightInd w:val="0"/>
        <w:spacing w:line="240" w:lineRule="auto"/>
        <w:ind w:left="480" w:hanging="480"/>
        <w:rPr>
          <w:rFonts w:ascii="Calibri" w:hAnsi="Calibri" w:cs="Times New Roman"/>
          <w:noProof/>
          <w:szCs w:val="24"/>
        </w:rPr>
      </w:pPr>
      <w:r w:rsidRPr="000D7D27">
        <w:rPr>
          <w:rFonts w:ascii="Calibri" w:hAnsi="Calibri" w:cs="Times New Roman"/>
          <w:noProof/>
          <w:szCs w:val="24"/>
        </w:rPr>
        <w:t xml:space="preserve">Vitto, L. A. Del, &amp; Petenatti, E. M. (2009). ASTERÁCEAS DE IMPORTANCIA ECONÓMICA Y AMBIENTAL. PRIMERA PARTE. SINOPSIS MORFOLÓGICA Y TAXONÓMICA, IMPORTANCIA ECOLÓGICA Y PLANTAS DE INTERÉS INDUSTRIAL. </w:t>
      </w:r>
      <w:r w:rsidRPr="000D7D27">
        <w:rPr>
          <w:rFonts w:ascii="Calibri" w:hAnsi="Calibri" w:cs="Times New Roman"/>
          <w:i/>
          <w:iCs/>
          <w:noProof/>
          <w:szCs w:val="24"/>
        </w:rPr>
        <w:t>Multequina</w:t>
      </w:r>
      <w:r w:rsidRPr="000D7D27">
        <w:rPr>
          <w:rFonts w:ascii="Calibri" w:hAnsi="Calibri" w:cs="Times New Roman"/>
          <w:noProof/>
          <w:szCs w:val="24"/>
        </w:rPr>
        <w:t xml:space="preserve">, </w:t>
      </w:r>
      <w:r w:rsidRPr="000D7D27">
        <w:rPr>
          <w:rFonts w:ascii="Calibri" w:hAnsi="Calibri" w:cs="Times New Roman"/>
          <w:i/>
          <w:iCs/>
          <w:noProof/>
          <w:szCs w:val="24"/>
        </w:rPr>
        <w:t>1</w:t>
      </w:r>
      <w:r w:rsidRPr="000D7D27">
        <w:rPr>
          <w:rFonts w:ascii="Calibri" w:hAnsi="Calibri" w:cs="Times New Roman"/>
          <w:noProof/>
          <w:szCs w:val="24"/>
        </w:rPr>
        <w:t>(18), 87–115. https://www.redalyc.org/articulo.oa?id=42812317008</w:t>
      </w:r>
    </w:p>
    <w:p w14:paraId="4A960686" w14:textId="77777777" w:rsidR="000D7D27" w:rsidRPr="00D0131E" w:rsidRDefault="000D7D27" w:rsidP="000D7D27">
      <w:pPr>
        <w:widowControl w:val="0"/>
        <w:autoSpaceDE w:val="0"/>
        <w:autoSpaceDN w:val="0"/>
        <w:adjustRightInd w:val="0"/>
        <w:spacing w:line="240" w:lineRule="auto"/>
        <w:ind w:left="480" w:hanging="480"/>
        <w:rPr>
          <w:rFonts w:ascii="Calibri" w:hAnsi="Calibri"/>
          <w:noProof/>
          <w:lang w:val="en-US"/>
        </w:rPr>
      </w:pPr>
      <w:r w:rsidRPr="000D7D27">
        <w:rPr>
          <w:rFonts w:ascii="Calibri" w:hAnsi="Calibri" w:cs="Times New Roman"/>
          <w:noProof/>
          <w:szCs w:val="24"/>
        </w:rPr>
        <w:t xml:space="preserve">Wezel, A., Gemmill Señor, B., Bezner Kerr, R., Barrios, E., Rodrigues, A., &amp; Sinclair, F. (2020). </w:t>
      </w:r>
      <w:r w:rsidRPr="00D0131E">
        <w:rPr>
          <w:rFonts w:ascii="Calibri" w:hAnsi="Calibri" w:cs="Times New Roman"/>
          <w:noProof/>
          <w:szCs w:val="24"/>
          <w:lang w:val="en-US"/>
        </w:rPr>
        <w:t xml:space="preserve">Agroecological principles and elements and their implications for transitioning to sustainable food systems. A review. </w:t>
      </w:r>
      <w:r w:rsidRPr="00D0131E">
        <w:rPr>
          <w:rFonts w:ascii="Calibri" w:hAnsi="Calibri" w:cs="Times New Roman"/>
          <w:i/>
          <w:iCs/>
          <w:noProof/>
          <w:szCs w:val="24"/>
          <w:lang w:val="en-US"/>
        </w:rPr>
        <w:t>Agronomy for Sustainable Development</w:t>
      </w:r>
      <w:r w:rsidRPr="00D0131E">
        <w:rPr>
          <w:rFonts w:ascii="Calibri" w:hAnsi="Calibri" w:cs="Times New Roman"/>
          <w:noProof/>
          <w:szCs w:val="24"/>
          <w:lang w:val="en-US"/>
        </w:rPr>
        <w:t xml:space="preserve">, </w:t>
      </w:r>
      <w:r w:rsidRPr="00D0131E">
        <w:rPr>
          <w:rFonts w:ascii="Calibri" w:hAnsi="Calibri" w:cs="Times New Roman"/>
          <w:i/>
          <w:iCs/>
          <w:noProof/>
          <w:szCs w:val="24"/>
          <w:lang w:val="en-US"/>
        </w:rPr>
        <w:t>40</w:t>
      </w:r>
      <w:r w:rsidRPr="00D0131E">
        <w:rPr>
          <w:rFonts w:ascii="Calibri" w:hAnsi="Calibri" w:cs="Times New Roman"/>
          <w:noProof/>
          <w:szCs w:val="24"/>
          <w:lang w:val="en-US"/>
        </w:rPr>
        <w:t>(6). https://doi.org/10.1007/S13593-020-00646-Z/FIGURES/5</w:t>
      </w:r>
    </w:p>
    <w:p w14:paraId="571A5CDC" w14:textId="12144D80" w:rsidR="000D7D27" w:rsidRPr="00C12CE6" w:rsidRDefault="000D7D27">
      <w:pPr>
        <w:jc w:val="both"/>
      </w:pPr>
      <w:r>
        <w:fldChar w:fldCharType="end"/>
      </w:r>
    </w:p>
    <w:sectPr w:rsidR="000D7D27" w:rsidRPr="00C12CE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E744774"/>
    <w:multiLevelType w:val="hybridMultilevel"/>
    <w:tmpl w:val="D5E42C2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54CF"/>
    <w:rsid w:val="00007BE0"/>
    <w:rsid w:val="00061DD3"/>
    <w:rsid w:val="0006321F"/>
    <w:rsid w:val="00077C70"/>
    <w:rsid w:val="000A49DB"/>
    <w:rsid w:val="000A7826"/>
    <w:rsid w:val="000D7D27"/>
    <w:rsid w:val="000F30BB"/>
    <w:rsid w:val="001055F6"/>
    <w:rsid w:val="0011209A"/>
    <w:rsid w:val="0012090D"/>
    <w:rsid w:val="00145A27"/>
    <w:rsid w:val="00152C71"/>
    <w:rsid w:val="001949CF"/>
    <w:rsid w:val="001A29C2"/>
    <w:rsid w:val="001E0883"/>
    <w:rsid w:val="001F4233"/>
    <w:rsid w:val="001F447B"/>
    <w:rsid w:val="0024379C"/>
    <w:rsid w:val="00287570"/>
    <w:rsid w:val="002A09B6"/>
    <w:rsid w:val="002B0E25"/>
    <w:rsid w:val="002B7B88"/>
    <w:rsid w:val="002F1AF8"/>
    <w:rsid w:val="00342D59"/>
    <w:rsid w:val="00360157"/>
    <w:rsid w:val="0036707A"/>
    <w:rsid w:val="00376EEF"/>
    <w:rsid w:val="00380F4B"/>
    <w:rsid w:val="00382125"/>
    <w:rsid w:val="003A5B14"/>
    <w:rsid w:val="003B0E13"/>
    <w:rsid w:val="003B3AED"/>
    <w:rsid w:val="003C4C8E"/>
    <w:rsid w:val="003D65F8"/>
    <w:rsid w:val="004173E6"/>
    <w:rsid w:val="004308B3"/>
    <w:rsid w:val="0045546B"/>
    <w:rsid w:val="00497A51"/>
    <w:rsid w:val="004A40D9"/>
    <w:rsid w:val="004D31B7"/>
    <w:rsid w:val="004E4DE6"/>
    <w:rsid w:val="0050209A"/>
    <w:rsid w:val="00502DB7"/>
    <w:rsid w:val="00516DD2"/>
    <w:rsid w:val="005254CF"/>
    <w:rsid w:val="00590FD2"/>
    <w:rsid w:val="00592178"/>
    <w:rsid w:val="00594F8F"/>
    <w:rsid w:val="005A61F5"/>
    <w:rsid w:val="005E1A75"/>
    <w:rsid w:val="005F3A0B"/>
    <w:rsid w:val="00620D11"/>
    <w:rsid w:val="00631633"/>
    <w:rsid w:val="00633CE7"/>
    <w:rsid w:val="0063589C"/>
    <w:rsid w:val="006373E5"/>
    <w:rsid w:val="00644254"/>
    <w:rsid w:val="00646F80"/>
    <w:rsid w:val="0066271A"/>
    <w:rsid w:val="006819A1"/>
    <w:rsid w:val="00692154"/>
    <w:rsid w:val="00693021"/>
    <w:rsid w:val="00694790"/>
    <w:rsid w:val="006A7C95"/>
    <w:rsid w:val="006B164D"/>
    <w:rsid w:val="006B1D49"/>
    <w:rsid w:val="006B2D89"/>
    <w:rsid w:val="006B70FA"/>
    <w:rsid w:val="006C1AFB"/>
    <w:rsid w:val="006C256D"/>
    <w:rsid w:val="006C6520"/>
    <w:rsid w:val="006F21E6"/>
    <w:rsid w:val="00706F36"/>
    <w:rsid w:val="00715468"/>
    <w:rsid w:val="00757CDE"/>
    <w:rsid w:val="007725D5"/>
    <w:rsid w:val="00790896"/>
    <w:rsid w:val="007B32AD"/>
    <w:rsid w:val="007C1FED"/>
    <w:rsid w:val="007C769B"/>
    <w:rsid w:val="007D2C52"/>
    <w:rsid w:val="007D53D8"/>
    <w:rsid w:val="007D729B"/>
    <w:rsid w:val="00802DAC"/>
    <w:rsid w:val="008063E1"/>
    <w:rsid w:val="00813558"/>
    <w:rsid w:val="00817ED7"/>
    <w:rsid w:val="00827F38"/>
    <w:rsid w:val="008A6491"/>
    <w:rsid w:val="008C3203"/>
    <w:rsid w:val="008F25AD"/>
    <w:rsid w:val="008F29EF"/>
    <w:rsid w:val="008F4D33"/>
    <w:rsid w:val="00933815"/>
    <w:rsid w:val="00942014"/>
    <w:rsid w:val="00942918"/>
    <w:rsid w:val="009A2DCF"/>
    <w:rsid w:val="009A4B29"/>
    <w:rsid w:val="009D1F7D"/>
    <w:rsid w:val="009E0041"/>
    <w:rsid w:val="009F19A0"/>
    <w:rsid w:val="00A154B1"/>
    <w:rsid w:val="00A74136"/>
    <w:rsid w:val="00A74DB3"/>
    <w:rsid w:val="00A82790"/>
    <w:rsid w:val="00A9705B"/>
    <w:rsid w:val="00AC32B4"/>
    <w:rsid w:val="00AC4DAD"/>
    <w:rsid w:val="00AD5C97"/>
    <w:rsid w:val="00AE4C2D"/>
    <w:rsid w:val="00B00D40"/>
    <w:rsid w:val="00B068D0"/>
    <w:rsid w:val="00B1004E"/>
    <w:rsid w:val="00B146B5"/>
    <w:rsid w:val="00B357AD"/>
    <w:rsid w:val="00B3701F"/>
    <w:rsid w:val="00B5537B"/>
    <w:rsid w:val="00BA7351"/>
    <w:rsid w:val="00BB5614"/>
    <w:rsid w:val="00BE44BD"/>
    <w:rsid w:val="00C02488"/>
    <w:rsid w:val="00C12B0E"/>
    <w:rsid w:val="00C12CE6"/>
    <w:rsid w:val="00C53573"/>
    <w:rsid w:val="00C57E90"/>
    <w:rsid w:val="00C75EED"/>
    <w:rsid w:val="00CA68F8"/>
    <w:rsid w:val="00CB1396"/>
    <w:rsid w:val="00CC003A"/>
    <w:rsid w:val="00CC20AC"/>
    <w:rsid w:val="00CD0058"/>
    <w:rsid w:val="00CD7ACE"/>
    <w:rsid w:val="00CE1844"/>
    <w:rsid w:val="00D002FC"/>
    <w:rsid w:val="00D0131E"/>
    <w:rsid w:val="00D130A5"/>
    <w:rsid w:val="00D146DE"/>
    <w:rsid w:val="00D24E95"/>
    <w:rsid w:val="00D61ED3"/>
    <w:rsid w:val="00D822B3"/>
    <w:rsid w:val="00D84709"/>
    <w:rsid w:val="00D86270"/>
    <w:rsid w:val="00DC4B6A"/>
    <w:rsid w:val="00DD3144"/>
    <w:rsid w:val="00DE13A5"/>
    <w:rsid w:val="00DE32CF"/>
    <w:rsid w:val="00DF1B28"/>
    <w:rsid w:val="00DF22E8"/>
    <w:rsid w:val="00E11789"/>
    <w:rsid w:val="00E11D96"/>
    <w:rsid w:val="00E258BE"/>
    <w:rsid w:val="00E913D5"/>
    <w:rsid w:val="00EA73C6"/>
    <w:rsid w:val="00EB24F4"/>
    <w:rsid w:val="00ED19EA"/>
    <w:rsid w:val="00EE7D8C"/>
    <w:rsid w:val="00EF2216"/>
    <w:rsid w:val="00F02302"/>
    <w:rsid w:val="00F148EF"/>
    <w:rsid w:val="00F16461"/>
    <w:rsid w:val="00F31E2D"/>
    <w:rsid w:val="00F53631"/>
    <w:rsid w:val="00F56452"/>
    <w:rsid w:val="00F64FD6"/>
    <w:rsid w:val="00F945CB"/>
    <w:rsid w:val="00F97C09"/>
    <w:rsid w:val="00FA6AC0"/>
    <w:rsid w:val="00FC73F0"/>
    <w:rsid w:val="00FE0EA2"/>
    <w:rsid w:val="00FF15B2"/>
    <w:rsid w:val="00FF24BE"/>
    <w:rsid w:val="00FF394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00DCA"/>
  <w15:chartTrackingRefBased/>
  <w15:docId w15:val="{6B9304C6-E881-42C9-AD36-DE6D58DB9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E1844"/>
    <w:pPr>
      <w:ind w:left="720"/>
      <w:contextualSpacing/>
    </w:pPr>
  </w:style>
  <w:style w:type="character" w:styleId="Textodelmarcadordeposicin">
    <w:name w:val="Placeholder Text"/>
    <w:basedOn w:val="Fuentedeprrafopredeter"/>
    <w:uiPriority w:val="99"/>
    <w:semiHidden/>
    <w:rsid w:val="008C3203"/>
    <w:rPr>
      <w:color w:val="666666"/>
    </w:rPr>
  </w:style>
  <w:style w:type="table" w:styleId="Tablaconcuadrcula">
    <w:name w:val="Table Grid"/>
    <w:basedOn w:val="Tablanormal"/>
    <w:uiPriority w:val="39"/>
    <w:rsid w:val="00F564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0131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13941">
      <w:bodyDiv w:val="1"/>
      <w:marLeft w:val="0"/>
      <w:marRight w:val="0"/>
      <w:marTop w:val="0"/>
      <w:marBottom w:val="0"/>
      <w:divBdr>
        <w:top w:val="none" w:sz="0" w:space="0" w:color="auto"/>
        <w:left w:val="none" w:sz="0" w:space="0" w:color="auto"/>
        <w:bottom w:val="none" w:sz="0" w:space="0" w:color="auto"/>
        <w:right w:val="none" w:sz="0" w:space="0" w:color="auto"/>
      </w:divBdr>
    </w:div>
    <w:div w:id="54358742">
      <w:bodyDiv w:val="1"/>
      <w:marLeft w:val="0"/>
      <w:marRight w:val="0"/>
      <w:marTop w:val="0"/>
      <w:marBottom w:val="0"/>
      <w:divBdr>
        <w:top w:val="none" w:sz="0" w:space="0" w:color="auto"/>
        <w:left w:val="none" w:sz="0" w:space="0" w:color="auto"/>
        <w:bottom w:val="none" w:sz="0" w:space="0" w:color="auto"/>
        <w:right w:val="none" w:sz="0" w:space="0" w:color="auto"/>
      </w:divBdr>
    </w:div>
    <w:div w:id="264117469">
      <w:bodyDiv w:val="1"/>
      <w:marLeft w:val="0"/>
      <w:marRight w:val="0"/>
      <w:marTop w:val="0"/>
      <w:marBottom w:val="0"/>
      <w:divBdr>
        <w:top w:val="none" w:sz="0" w:space="0" w:color="auto"/>
        <w:left w:val="none" w:sz="0" w:space="0" w:color="auto"/>
        <w:bottom w:val="none" w:sz="0" w:space="0" w:color="auto"/>
        <w:right w:val="none" w:sz="0" w:space="0" w:color="auto"/>
      </w:divBdr>
    </w:div>
    <w:div w:id="273635476">
      <w:bodyDiv w:val="1"/>
      <w:marLeft w:val="0"/>
      <w:marRight w:val="0"/>
      <w:marTop w:val="0"/>
      <w:marBottom w:val="0"/>
      <w:divBdr>
        <w:top w:val="none" w:sz="0" w:space="0" w:color="auto"/>
        <w:left w:val="none" w:sz="0" w:space="0" w:color="auto"/>
        <w:bottom w:val="none" w:sz="0" w:space="0" w:color="auto"/>
        <w:right w:val="none" w:sz="0" w:space="0" w:color="auto"/>
      </w:divBdr>
    </w:div>
    <w:div w:id="344093628">
      <w:bodyDiv w:val="1"/>
      <w:marLeft w:val="0"/>
      <w:marRight w:val="0"/>
      <w:marTop w:val="0"/>
      <w:marBottom w:val="0"/>
      <w:divBdr>
        <w:top w:val="none" w:sz="0" w:space="0" w:color="auto"/>
        <w:left w:val="none" w:sz="0" w:space="0" w:color="auto"/>
        <w:bottom w:val="none" w:sz="0" w:space="0" w:color="auto"/>
        <w:right w:val="none" w:sz="0" w:space="0" w:color="auto"/>
      </w:divBdr>
    </w:div>
    <w:div w:id="383990160">
      <w:bodyDiv w:val="1"/>
      <w:marLeft w:val="0"/>
      <w:marRight w:val="0"/>
      <w:marTop w:val="0"/>
      <w:marBottom w:val="0"/>
      <w:divBdr>
        <w:top w:val="none" w:sz="0" w:space="0" w:color="auto"/>
        <w:left w:val="none" w:sz="0" w:space="0" w:color="auto"/>
        <w:bottom w:val="none" w:sz="0" w:space="0" w:color="auto"/>
        <w:right w:val="none" w:sz="0" w:space="0" w:color="auto"/>
      </w:divBdr>
    </w:div>
    <w:div w:id="399065607">
      <w:bodyDiv w:val="1"/>
      <w:marLeft w:val="0"/>
      <w:marRight w:val="0"/>
      <w:marTop w:val="0"/>
      <w:marBottom w:val="0"/>
      <w:divBdr>
        <w:top w:val="none" w:sz="0" w:space="0" w:color="auto"/>
        <w:left w:val="none" w:sz="0" w:space="0" w:color="auto"/>
        <w:bottom w:val="none" w:sz="0" w:space="0" w:color="auto"/>
        <w:right w:val="none" w:sz="0" w:space="0" w:color="auto"/>
      </w:divBdr>
    </w:div>
    <w:div w:id="462114518">
      <w:bodyDiv w:val="1"/>
      <w:marLeft w:val="0"/>
      <w:marRight w:val="0"/>
      <w:marTop w:val="0"/>
      <w:marBottom w:val="0"/>
      <w:divBdr>
        <w:top w:val="none" w:sz="0" w:space="0" w:color="auto"/>
        <w:left w:val="none" w:sz="0" w:space="0" w:color="auto"/>
        <w:bottom w:val="none" w:sz="0" w:space="0" w:color="auto"/>
        <w:right w:val="none" w:sz="0" w:space="0" w:color="auto"/>
      </w:divBdr>
    </w:div>
    <w:div w:id="598102769">
      <w:bodyDiv w:val="1"/>
      <w:marLeft w:val="0"/>
      <w:marRight w:val="0"/>
      <w:marTop w:val="0"/>
      <w:marBottom w:val="0"/>
      <w:divBdr>
        <w:top w:val="none" w:sz="0" w:space="0" w:color="auto"/>
        <w:left w:val="none" w:sz="0" w:space="0" w:color="auto"/>
        <w:bottom w:val="none" w:sz="0" w:space="0" w:color="auto"/>
        <w:right w:val="none" w:sz="0" w:space="0" w:color="auto"/>
      </w:divBdr>
    </w:div>
    <w:div w:id="613483414">
      <w:bodyDiv w:val="1"/>
      <w:marLeft w:val="0"/>
      <w:marRight w:val="0"/>
      <w:marTop w:val="0"/>
      <w:marBottom w:val="0"/>
      <w:divBdr>
        <w:top w:val="none" w:sz="0" w:space="0" w:color="auto"/>
        <w:left w:val="none" w:sz="0" w:space="0" w:color="auto"/>
        <w:bottom w:val="none" w:sz="0" w:space="0" w:color="auto"/>
        <w:right w:val="none" w:sz="0" w:space="0" w:color="auto"/>
      </w:divBdr>
    </w:div>
    <w:div w:id="775103162">
      <w:bodyDiv w:val="1"/>
      <w:marLeft w:val="0"/>
      <w:marRight w:val="0"/>
      <w:marTop w:val="0"/>
      <w:marBottom w:val="0"/>
      <w:divBdr>
        <w:top w:val="none" w:sz="0" w:space="0" w:color="auto"/>
        <w:left w:val="none" w:sz="0" w:space="0" w:color="auto"/>
        <w:bottom w:val="none" w:sz="0" w:space="0" w:color="auto"/>
        <w:right w:val="none" w:sz="0" w:space="0" w:color="auto"/>
      </w:divBdr>
    </w:div>
    <w:div w:id="796262423">
      <w:bodyDiv w:val="1"/>
      <w:marLeft w:val="0"/>
      <w:marRight w:val="0"/>
      <w:marTop w:val="0"/>
      <w:marBottom w:val="0"/>
      <w:divBdr>
        <w:top w:val="none" w:sz="0" w:space="0" w:color="auto"/>
        <w:left w:val="none" w:sz="0" w:space="0" w:color="auto"/>
        <w:bottom w:val="none" w:sz="0" w:space="0" w:color="auto"/>
        <w:right w:val="none" w:sz="0" w:space="0" w:color="auto"/>
      </w:divBdr>
    </w:div>
    <w:div w:id="898904171">
      <w:bodyDiv w:val="1"/>
      <w:marLeft w:val="0"/>
      <w:marRight w:val="0"/>
      <w:marTop w:val="0"/>
      <w:marBottom w:val="0"/>
      <w:divBdr>
        <w:top w:val="none" w:sz="0" w:space="0" w:color="auto"/>
        <w:left w:val="none" w:sz="0" w:space="0" w:color="auto"/>
        <w:bottom w:val="none" w:sz="0" w:space="0" w:color="auto"/>
        <w:right w:val="none" w:sz="0" w:space="0" w:color="auto"/>
      </w:divBdr>
    </w:div>
    <w:div w:id="940603637">
      <w:bodyDiv w:val="1"/>
      <w:marLeft w:val="0"/>
      <w:marRight w:val="0"/>
      <w:marTop w:val="0"/>
      <w:marBottom w:val="0"/>
      <w:divBdr>
        <w:top w:val="none" w:sz="0" w:space="0" w:color="auto"/>
        <w:left w:val="none" w:sz="0" w:space="0" w:color="auto"/>
        <w:bottom w:val="none" w:sz="0" w:space="0" w:color="auto"/>
        <w:right w:val="none" w:sz="0" w:space="0" w:color="auto"/>
      </w:divBdr>
    </w:div>
    <w:div w:id="948004684">
      <w:bodyDiv w:val="1"/>
      <w:marLeft w:val="0"/>
      <w:marRight w:val="0"/>
      <w:marTop w:val="0"/>
      <w:marBottom w:val="0"/>
      <w:divBdr>
        <w:top w:val="none" w:sz="0" w:space="0" w:color="auto"/>
        <w:left w:val="none" w:sz="0" w:space="0" w:color="auto"/>
        <w:bottom w:val="none" w:sz="0" w:space="0" w:color="auto"/>
        <w:right w:val="none" w:sz="0" w:space="0" w:color="auto"/>
      </w:divBdr>
    </w:div>
    <w:div w:id="951009883">
      <w:bodyDiv w:val="1"/>
      <w:marLeft w:val="0"/>
      <w:marRight w:val="0"/>
      <w:marTop w:val="0"/>
      <w:marBottom w:val="0"/>
      <w:divBdr>
        <w:top w:val="none" w:sz="0" w:space="0" w:color="auto"/>
        <w:left w:val="none" w:sz="0" w:space="0" w:color="auto"/>
        <w:bottom w:val="none" w:sz="0" w:space="0" w:color="auto"/>
        <w:right w:val="none" w:sz="0" w:space="0" w:color="auto"/>
      </w:divBdr>
    </w:div>
    <w:div w:id="1045251842">
      <w:bodyDiv w:val="1"/>
      <w:marLeft w:val="0"/>
      <w:marRight w:val="0"/>
      <w:marTop w:val="0"/>
      <w:marBottom w:val="0"/>
      <w:divBdr>
        <w:top w:val="none" w:sz="0" w:space="0" w:color="auto"/>
        <w:left w:val="none" w:sz="0" w:space="0" w:color="auto"/>
        <w:bottom w:val="none" w:sz="0" w:space="0" w:color="auto"/>
        <w:right w:val="none" w:sz="0" w:space="0" w:color="auto"/>
      </w:divBdr>
    </w:div>
    <w:div w:id="1233085413">
      <w:bodyDiv w:val="1"/>
      <w:marLeft w:val="0"/>
      <w:marRight w:val="0"/>
      <w:marTop w:val="0"/>
      <w:marBottom w:val="0"/>
      <w:divBdr>
        <w:top w:val="none" w:sz="0" w:space="0" w:color="auto"/>
        <w:left w:val="none" w:sz="0" w:space="0" w:color="auto"/>
        <w:bottom w:val="none" w:sz="0" w:space="0" w:color="auto"/>
        <w:right w:val="none" w:sz="0" w:space="0" w:color="auto"/>
      </w:divBdr>
    </w:div>
    <w:div w:id="1337539103">
      <w:bodyDiv w:val="1"/>
      <w:marLeft w:val="0"/>
      <w:marRight w:val="0"/>
      <w:marTop w:val="0"/>
      <w:marBottom w:val="0"/>
      <w:divBdr>
        <w:top w:val="none" w:sz="0" w:space="0" w:color="auto"/>
        <w:left w:val="none" w:sz="0" w:space="0" w:color="auto"/>
        <w:bottom w:val="none" w:sz="0" w:space="0" w:color="auto"/>
        <w:right w:val="none" w:sz="0" w:space="0" w:color="auto"/>
      </w:divBdr>
    </w:div>
    <w:div w:id="1358895420">
      <w:bodyDiv w:val="1"/>
      <w:marLeft w:val="0"/>
      <w:marRight w:val="0"/>
      <w:marTop w:val="0"/>
      <w:marBottom w:val="0"/>
      <w:divBdr>
        <w:top w:val="none" w:sz="0" w:space="0" w:color="auto"/>
        <w:left w:val="none" w:sz="0" w:space="0" w:color="auto"/>
        <w:bottom w:val="none" w:sz="0" w:space="0" w:color="auto"/>
        <w:right w:val="none" w:sz="0" w:space="0" w:color="auto"/>
      </w:divBdr>
    </w:div>
    <w:div w:id="1380279527">
      <w:bodyDiv w:val="1"/>
      <w:marLeft w:val="0"/>
      <w:marRight w:val="0"/>
      <w:marTop w:val="0"/>
      <w:marBottom w:val="0"/>
      <w:divBdr>
        <w:top w:val="none" w:sz="0" w:space="0" w:color="auto"/>
        <w:left w:val="none" w:sz="0" w:space="0" w:color="auto"/>
        <w:bottom w:val="none" w:sz="0" w:space="0" w:color="auto"/>
        <w:right w:val="none" w:sz="0" w:space="0" w:color="auto"/>
      </w:divBdr>
    </w:div>
    <w:div w:id="1498879945">
      <w:bodyDiv w:val="1"/>
      <w:marLeft w:val="0"/>
      <w:marRight w:val="0"/>
      <w:marTop w:val="0"/>
      <w:marBottom w:val="0"/>
      <w:divBdr>
        <w:top w:val="none" w:sz="0" w:space="0" w:color="auto"/>
        <w:left w:val="none" w:sz="0" w:space="0" w:color="auto"/>
        <w:bottom w:val="none" w:sz="0" w:space="0" w:color="auto"/>
        <w:right w:val="none" w:sz="0" w:space="0" w:color="auto"/>
      </w:divBdr>
    </w:div>
    <w:div w:id="1606695251">
      <w:bodyDiv w:val="1"/>
      <w:marLeft w:val="0"/>
      <w:marRight w:val="0"/>
      <w:marTop w:val="0"/>
      <w:marBottom w:val="0"/>
      <w:divBdr>
        <w:top w:val="none" w:sz="0" w:space="0" w:color="auto"/>
        <w:left w:val="none" w:sz="0" w:space="0" w:color="auto"/>
        <w:bottom w:val="none" w:sz="0" w:space="0" w:color="auto"/>
        <w:right w:val="none" w:sz="0" w:space="0" w:color="auto"/>
      </w:divBdr>
    </w:div>
    <w:div w:id="1713072044">
      <w:bodyDiv w:val="1"/>
      <w:marLeft w:val="0"/>
      <w:marRight w:val="0"/>
      <w:marTop w:val="0"/>
      <w:marBottom w:val="0"/>
      <w:divBdr>
        <w:top w:val="none" w:sz="0" w:space="0" w:color="auto"/>
        <w:left w:val="none" w:sz="0" w:space="0" w:color="auto"/>
        <w:bottom w:val="none" w:sz="0" w:space="0" w:color="auto"/>
        <w:right w:val="none" w:sz="0" w:space="0" w:color="auto"/>
      </w:divBdr>
    </w:div>
    <w:div w:id="1758670259">
      <w:bodyDiv w:val="1"/>
      <w:marLeft w:val="0"/>
      <w:marRight w:val="0"/>
      <w:marTop w:val="0"/>
      <w:marBottom w:val="0"/>
      <w:divBdr>
        <w:top w:val="none" w:sz="0" w:space="0" w:color="auto"/>
        <w:left w:val="none" w:sz="0" w:space="0" w:color="auto"/>
        <w:bottom w:val="none" w:sz="0" w:space="0" w:color="auto"/>
        <w:right w:val="none" w:sz="0" w:space="0" w:color="auto"/>
      </w:divBdr>
    </w:div>
    <w:div w:id="1857622220">
      <w:bodyDiv w:val="1"/>
      <w:marLeft w:val="0"/>
      <w:marRight w:val="0"/>
      <w:marTop w:val="0"/>
      <w:marBottom w:val="0"/>
      <w:divBdr>
        <w:top w:val="none" w:sz="0" w:space="0" w:color="auto"/>
        <w:left w:val="none" w:sz="0" w:space="0" w:color="auto"/>
        <w:bottom w:val="none" w:sz="0" w:space="0" w:color="auto"/>
        <w:right w:val="none" w:sz="0" w:space="0" w:color="auto"/>
      </w:divBdr>
    </w:div>
    <w:div w:id="1901020434">
      <w:bodyDiv w:val="1"/>
      <w:marLeft w:val="0"/>
      <w:marRight w:val="0"/>
      <w:marTop w:val="0"/>
      <w:marBottom w:val="0"/>
      <w:divBdr>
        <w:top w:val="none" w:sz="0" w:space="0" w:color="auto"/>
        <w:left w:val="none" w:sz="0" w:space="0" w:color="auto"/>
        <w:bottom w:val="none" w:sz="0" w:space="0" w:color="auto"/>
        <w:right w:val="none" w:sz="0" w:space="0" w:color="auto"/>
      </w:divBdr>
    </w:div>
    <w:div w:id="2045053111">
      <w:bodyDiv w:val="1"/>
      <w:marLeft w:val="0"/>
      <w:marRight w:val="0"/>
      <w:marTop w:val="0"/>
      <w:marBottom w:val="0"/>
      <w:divBdr>
        <w:top w:val="none" w:sz="0" w:space="0" w:color="auto"/>
        <w:left w:val="none" w:sz="0" w:space="0" w:color="auto"/>
        <w:bottom w:val="none" w:sz="0" w:space="0" w:color="auto"/>
        <w:right w:val="none" w:sz="0" w:space="0" w:color="auto"/>
      </w:divBdr>
    </w:div>
    <w:div w:id="2052530097">
      <w:bodyDiv w:val="1"/>
      <w:marLeft w:val="0"/>
      <w:marRight w:val="0"/>
      <w:marTop w:val="0"/>
      <w:marBottom w:val="0"/>
      <w:divBdr>
        <w:top w:val="none" w:sz="0" w:space="0" w:color="auto"/>
        <w:left w:val="none" w:sz="0" w:space="0" w:color="auto"/>
        <w:bottom w:val="none" w:sz="0" w:space="0" w:color="auto"/>
        <w:right w:val="none" w:sz="0" w:space="0" w:color="auto"/>
      </w:divBdr>
    </w:div>
    <w:div w:id="2089308578">
      <w:bodyDiv w:val="1"/>
      <w:marLeft w:val="0"/>
      <w:marRight w:val="0"/>
      <w:marTop w:val="0"/>
      <w:marBottom w:val="0"/>
      <w:divBdr>
        <w:top w:val="none" w:sz="0" w:space="0" w:color="auto"/>
        <w:left w:val="none" w:sz="0" w:space="0" w:color="auto"/>
        <w:bottom w:val="none" w:sz="0" w:space="0" w:color="auto"/>
        <w:right w:val="none" w:sz="0" w:space="0" w:color="auto"/>
      </w:divBdr>
    </w:div>
    <w:div w:id="212719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hyperlink" Target="https://orcid.org/0000-0003-0508-8753" TargetMode="External"/><Relationship Id="rId1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lanca.salguero@unibague.edu.co" TargetMode="Externa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'[Evaluacion finca.xlsx]Hoja1'!$A$3:$A$12</c:f>
              <c:strCache>
                <c:ptCount val="10"/>
                <c:pt idx="0">
                  <c:v>Estructura</c:v>
                </c:pt>
                <c:pt idx="1">
                  <c:v>Compactación e infiltración</c:v>
                </c:pt>
                <c:pt idx="2">
                  <c:v>Profundidad del suelo</c:v>
                </c:pt>
                <c:pt idx="3">
                  <c:v>Estado de residuos</c:v>
                </c:pt>
                <c:pt idx="4">
                  <c:v>Color, olor y materia orgánica</c:v>
                </c:pt>
                <c:pt idx="5">
                  <c:v>Retención de humedad</c:v>
                </c:pt>
                <c:pt idx="6">
                  <c:v>Desarrollo de raices</c:v>
                </c:pt>
                <c:pt idx="7">
                  <c:v>Cobertura de suelo</c:v>
                </c:pt>
                <c:pt idx="8">
                  <c:v>Erosión</c:v>
                </c:pt>
                <c:pt idx="9">
                  <c:v>Actividad biológica</c:v>
                </c:pt>
              </c:strCache>
            </c:strRef>
          </c:cat>
          <c:val>
            <c:numRef>
              <c:f>'[Evaluacion finca.xlsx]Hoja1'!$B$3:$B$12</c:f>
              <c:numCache>
                <c:formatCode>General</c:formatCode>
                <c:ptCount val="10"/>
                <c:pt idx="1">
                  <c:v>7</c:v>
                </c:pt>
                <c:pt idx="2">
                  <c:v>9</c:v>
                </c:pt>
                <c:pt idx="3">
                  <c:v>7</c:v>
                </c:pt>
                <c:pt idx="4">
                  <c:v>10</c:v>
                </c:pt>
                <c:pt idx="5">
                  <c:v>10</c:v>
                </c:pt>
                <c:pt idx="6">
                  <c:v>6</c:v>
                </c:pt>
                <c:pt idx="7">
                  <c:v>5</c:v>
                </c:pt>
                <c:pt idx="8">
                  <c:v>8</c:v>
                </c:pt>
                <c:pt idx="9">
                  <c:v>7</c:v>
                </c:pt>
              </c:numCache>
            </c:numRef>
          </c:val>
          <c:extLst>
            <c:ext xmlns:c16="http://schemas.microsoft.com/office/drawing/2014/chart" uri="{C3380CC4-5D6E-409C-BE32-E72D297353CC}">
              <c16:uniqueId val="{00000000-1AB8-40AF-911C-FDC16562B258}"/>
            </c:ext>
          </c:extLst>
        </c:ser>
        <c:dLbls>
          <c:showLegendKey val="0"/>
          <c:showVal val="0"/>
          <c:showCatName val="0"/>
          <c:showSerName val="0"/>
          <c:showPercent val="0"/>
          <c:showBubbleSize val="0"/>
        </c:dLbls>
        <c:axId val="1231756160"/>
        <c:axId val="1231742720"/>
      </c:radarChart>
      <c:catAx>
        <c:axId val="1231756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mn-cs"/>
              </a:defRPr>
            </a:pPr>
            <a:endParaRPr lang="en-US"/>
          </a:p>
        </c:txPr>
        <c:crossAx val="1231742720"/>
        <c:crosses val="autoZero"/>
        <c:auto val="1"/>
        <c:lblAlgn val="ctr"/>
        <c:lblOffset val="100"/>
        <c:noMultiLvlLbl val="0"/>
      </c:catAx>
      <c:valAx>
        <c:axId val="123174272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231756160"/>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Calibri" panose="020F050202020403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'[Evaluacion finca.xlsx]Hoja1'!$F$3:$F$12</c:f>
              <c:strCache>
                <c:ptCount val="10"/>
                <c:pt idx="0">
                  <c:v>Apariencia </c:v>
                </c:pt>
                <c:pt idx="1">
                  <c:v>Crecimiento del cultivo</c:v>
                </c:pt>
                <c:pt idx="2">
                  <c:v>Resistencia o tolerancia a estres</c:v>
                </c:pt>
                <c:pt idx="3">
                  <c:v>Incidencia de enfermedades</c:v>
                </c:pt>
                <c:pt idx="4">
                  <c:v>Competencia por malezas</c:v>
                </c:pt>
                <c:pt idx="5">
                  <c:v>Rendimiento actual o potencial</c:v>
                </c:pt>
                <c:pt idx="6">
                  <c:v>Diversidad genética</c:v>
                </c:pt>
                <c:pt idx="7">
                  <c:v>Diversidad vegetal</c:v>
                </c:pt>
                <c:pt idx="8">
                  <c:v>Diversidad natural circundante</c:v>
                </c:pt>
                <c:pt idx="9">
                  <c:v>Sistema de manejo</c:v>
                </c:pt>
              </c:strCache>
            </c:strRef>
          </c:cat>
          <c:val>
            <c:numRef>
              <c:f>'[Evaluacion finca.xlsx]Hoja1'!$G$3:$G$12</c:f>
              <c:numCache>
                <c:formatCode>General</c:formatCode>
                <c:ptCount val="10"/>
                <c:pt idx="0">
                  <c:v>4</c:v>
                </c:pt>
                <c:pt idx="1">
                  <c:v>7</c:v>
                </c:pt>
                <c:pt idx="2">
                  <c:v>10</c:v>
                </c:pt>
                <c:pt idx="3">
                  <c:v>6</c:v>
                </c:pt>
                <c:pt idx="4">
                  <c:v>10</c:v>
                </c:pt>
                <c:pt idx="5">
                  <c:v>1</c:v>
                </c:pt>
                <c:pt idx="6">
                  <c:v>10</c:v>
                </c:pt>
                <c:pt idx="7">
                  <c:v>10</c:v>
                </c:pt>
                <c:pt idx="8">
                  <c:v>5</c:v>
                </c:pt>
                <c:pt idx="9">
                  <c:v>10</c:v>
                </c:pt>
              </c:numCache>
            </c:numRef>
          </c:val>
          <c:extLst>
            <c:ext xmlns:c16="http://schemas.microsoft.com/office/drawing/2014/chart" uri="{C3380CC4-5D6E-409C-BE32-E72D297353CC}">
              <c16:uniqueId val="{00000000-4CB2-4746-A49F-21BEDA3360A9}"/>
            </c:ext>
          </c:extLst>
        </c:ser>
        <c:dLbls>
          <c:showLegendKey val="0"/>
          <c:showVal val="0"/>
          <c:showCatName val="0"/>
          <c:showSerName val="0"/>
          <c:showPercent val="0"/>
          <c:showBubbleSize val="0"/>
        </c:dLbls>
        <c:axId val="1308794111"/>
        <c:axId val="1308793631"/>
      </c:radarChart>
      <c:catAx>
        <c:axId val="13087941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Calibri" panose="020F0502020204030204" pitchFamily="34" charset="0"/>
                <a:ea typeface="+mn-ea"/>
                <a:cs typeface="+mn-cs"/>
              </a:defRPr>
            </a:pPr>
            <a:endParaRPr lang="en-US"/>
          </a:p>
        </c:txPr>
        <c:crossAx val="1308793631"/>
        <c:crosses val="autoZero"/>
        <c:auto val="1"/>
        <c:lblAlgn val="ctr"/>
        <c:lblOffset val="100"/>
        <c:noMultiLvlLbl val="0"/>
      </c:catAx>
      <c:valAx>
        <c:axId val="1308793631"/>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08794111"/>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000">
          <a:solidFill>
            <a:schemeClr val="tx1"/>
          </a:solidFill>
          <a:latin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A4AD3A-0625-44A7-97E4-7918AC02DB67}">
  <we:reference id="wa104382081" version="1.55.1.0" store="en-US" storeType="OMEX"/>
  <we:alternateReferences>
    <we:reference id="wa104382081" version="1.55.1.0" store="en-US" storeType="OMEX"/>
  </we:alternateReferences>
  <we:properties>
    <we:property name="MENDELEY_CITATIONS" value="[{&quot;citationID&quot;:&quot;MENDELEY_CITATION_86d7b89b-8334-458b-bc24-0e2bdd2b6b6d&quot;,&quot;citationItems&quot;:[{&quot;id&quot;:&quot;f51aea6e-8138-50bd-8cc1-c415d4f482b2&quot;,&quot;itemData&quot;:{&quot;DOI&quot;:&quot;10.29312/REMEXCA.V12I8.2704&quot;,&quot;ISSN&quot;:&quot;2007-0934&quot;,&quot;abstract&quot;:&quot;En una dimensión regional, se analizan dos factores claves de la actividad agrícola de Guasave, Sinaloa, México que influyen directamente en el desarrollo rural sustentable: la agricultura intensiva y la calidad de suelos. La presente investigación se diseñó como un estudio cualitativo de tipo descriptivo de este ramo productivo, para ello se aplicaron 164 entrevistas a productores y se analizaron diversos documentos con información del sector, tales como informes técnicos y boletines. Se encontró que la agricultura intensiva predomina en el área de estudio, con prácticas y patrones de producción de tipo tradicional, como son sistemas de riego de gravedad y uso desmedido de agroquímicos, lo cual presupone manejos agrarios que van en contra del contexto sustentable. Se requiere de investigación-acción para la implementación de estrategias de resiliencia con un enfoque sostenible, alineadas a la gobernanza ambiental adecuada de la actividad y a las necesidades del sector, toda vez que se siguen observando problemas como la pérdida de fertilidad de los suelos, un incremento en la salinidad y erosión en algunos predios agrícolas.&quot;,&quot;author&quot;:[{&quot;dropping-particle&quot;:&quot;&quot;,&quot;family&quot;:&quot;Cuadras-Berrelleza&quot;,&quot;given&quot;:&quot;Aldo Alan&quot;,&quot;non-dropping-particle&quot;:&quot;&quot;,&quot;parse-names&quot;:false,&quot;suffix&quot;:&quot;&quot;},{&quot;dropping-particle&quot;:&quot;&quot;,&quot;family&quot;:&quot;Peinado-Guevara&quot;,&quot;given&quot;:&quot;Víctor Manuel&quot;,&quot;non-dropping-particle&quot;:&quot;&quot;,&quot;parse-names&quot;:false,&quot;suffix&quot;:&quot;&quot;},{&quot;dropping-particle&quot;:&quot;&quot;,&quot;family&quot;:&quot;Peinado-Guevara&quot;,&quot;given&quot;:&quot;Héctor José&quot;,&quot;non-dropping-particle&quot;:&quot;&quot;,&quot;parse-names&quot;:false,&quot;suffix&quot;:&quot;&quot;},{&quot;dropping-particle&quot;:&quot;&quot;,&quot;family&quot;:&quot;López-López&quot;,&quot;given&quot;:&quot;José de Jesús&quot;,&quot;non-dropping-particle&quot;:&quot;&quot;,&quot;parse-names&quot;:false,&quot;suffix&quot;:&quot;&quot;},{&quot;dropping-particle&quot;:&quot;&quot;,&quot;family&quot;:&quot;Herrera-Barrientos&quot;,&quot;given&quot;:&quot;Jaime&quot;,&quot;non-dropping-particle&quot;:&quot;&quot;,&quot;parse-names&quot;:false,&quot;suffix&quot;:&quot;&quot;}],&quot;container-title&quot;:&quot;Revista mexicana de ciencias agrícolas&quot;,&quot;id&quot;:&quot;f51aea6e-8138-50bd-8cc1-c415d4f482b2&quot;,&quot;issue&quot;:&quot;8&quot;,&quot;issued&quot;:{&quot;date-parts&quot;:[[&quot;2021&quot;,&quot;12&quot;,&quot;7&quot;]]},&quot;page&quot;:&quot;1401-1414&quot;,&quot;publisher&quot;:&quot;Instituto Nacional de Investigaciones Forestales, Agrícolas y Pecuarias&quot;,&quot;title&quot;:&quot;Agricultura intensiva y calidad de suelos: retos para el desarrollo sustentable en Sinaloa&quot;,&quot;type&quot;:&quot;article-journal&quot;,&quot;volume&quot;:&quot;12&quot;},&quot;uris&quot;:[&quot;http://www.mendeley.com/documents/?uuid=d262b7c8-f026-37b4-b7e5-39a9d69c65a8&quot;],&quot;isTemporary&quot;:false,&quot;legacyDesktopId&quot;:&quot;d262b7c8-f026-37b4-b7e5-39a9d69c65a8&quot;}],&quot;properties&quot;:{&quot;noteIndex&quot;:0},&quot;isEdited&quot;:false,&quot;manualOverride&quot;:{&quot;citeprocText&quot;:&quot;(Cuadras-Berrelleza et al., 2021)&quot;,&quot;isManuallyOverridden&quot;:false,&quot;manualOverrideText&quot;:&quot;&quot;},&quot;citationTag&quot;:&quot;MENDELEY_CITATION_v3_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&quot;},{&quot;citationID&quot;:&quot;MENDELEY_CITATION_ba9bc923-47de-45ef-afaf-4df7d0eefdbe&quot;,&quot;citationItems&quot;:[{&quot;id&quot;:&quot;3af4a8d5-f984-542a-9567-c9cbec470795&quot;,&quot;itemData&quot;:{&quot;DOI&quot;:&quot;10.18271/ria.2022.328&quot;,&quot;ISSN&quot;:&quot;2313-2957&quot;,&quot;abstract&quot;:&quot;Biodiversity is being affected by the overexploitation of natural resources, the increase of invasive species, climate change, intensive agriculture, and livestock farming. Among these, intensive soybean cultivation has displaced other products such as rice and wheat; intensive cultivation leads to increased use of agrochemicals, which generates severe socio-environmental effects, particularly on biodiversity. The objective of the study was to compile scientific literature produced on the loss of biodiversity caused by intensive agriculture and climate change, and within them the possible effects on the interrelationship between human beings and the environment. The methodological procedure was the systematic review developed in March 2021, using Boolean operators AND, OR, NOT with terms \&quot;biodiversity\&quot;, \&quot;climate change\&quot; and \&quot;agriculture\&quot; in the Scopus, Web of Science and Scielo databases. The results identified that there were at least 99 topics in Web of Science (99 topics), Scopus (155 topics) and Scielo (36 topics) that show the loss of biodiversity due to climate change and the expansion of intensive agriculture with consequences, not only in the regions surrounding the crops in question, but also indirectly in the mountain regions through the consumption of soybean in animals and derivatives in humans. It is concluded that biodiversity as a provider of food and disease prevention for humanity contributes to sustainability and, therefore, its preservation requires the adoption of aggressive public policies within the framework of the Convention on Biological Diversity. Resumen La biodiversidad está siendo afectada por la sobreexplotación de recursos naturales, el incremento de especies invasoras, el cambio climático, agricultura y la ganadería intensiva. Entre ellos, el cultivo intensivo de soya ha desplazado a los otros productos como el arroz y el trigo; el cultivo intensivo, induce al mayor uso de agroquímicos que genera severos efectos socio ambientales, en particular sobre la biodiversidad. El objetivo del estudio fue compilar literatura científica producida sobre la pérdida de biodiversidad causada por la agricultura intensiva y el cambio climático, y dentro de ellas los posibles efectos en la interrelación entre el ser humano y el medio ambiente. El procedimiento metodológico fue la revisión sistemática desarrollado en marzo de 2021, usando operadores booleanos AND, OR, NOT con términos \&quot;biodiversity\&quot;, \&quot;climate change\&quot; y \&quot;agriculture\&quot; en las …&quot;,&quot;author&quot;:[{&quot;dropping-particle&quot;:&quot;&quot;,&quot;family&quot;:&quot;Reyes-Palomino&quot;,&quot;given&quot;:&quot;Smith Ervin&quot;,&quot;non-dropping-particle&quot;:&quot;&quot;,&quot;parse-names&quot;:false,&quot;suffix&quot;:&quot;&quot;},{&quot;dropping-particle&quot;:&quot;&quot;,&quot;family&quot;:&quot;Cano-Ccoa&quot;,&quot;given&quot;:&quot;Dominga&quot;,&quot;non-dropping-particle&quot;:&quot;&quot;,&quot;parse-names&quot;:false,&quot;suffix&quot;:&quot;&quot;}],&quot;container-title&quot;:&quot;Revista de Investigaciones Altoandinas&quot;,&quot;id&quot;:&quot;3af4a8d5-f984-542a-9567-c9cbec470795&quot;,&quot;issue&quot;:&quot;1&quot;,&quot;issued&quot;:{&quot;date-parts&quot;:[[&quot;2022&quot;]]},&quot;page&quot;:&quot;53-64&quot;,&quot;title&quot;:&quot;Efectos de la agricultura intensiva y el cambio climático sobre la biodiversidad Effects of intensive agriculture and climate change on biodiversity Sección: Artículo de revisión&quot;,&quot;type&quot;:&quot;article-journal&quot;,&quot;volume&quot;:&quot;24&quot;},&quot;uris&quot;:[&quot;http://www.mendeley.com/documents/?uuid=ccdd9840-3435-33fe-91b5-d79676f53685&quot;],&quot;isTemporary&quot;:false,&quot;legacyDesktopId&quot;:&quot;ccdd9840-3435-33fe-91b5-d79676f53685&quot;}],&quot;properties&quot;:{&quot;noteIndex&quot;:0},&quot;isEdited&quot;:false,&quot;manualOverride&quot;:{&quot;citeprocText&quot;:&quot;(Reyes-Palomino &amp;#38; Cano-Ccoa, 2022)&quot;,&quot;isManuallyOverridden&quot;:false,&quot;manualOverrideText&quot;:&quot;&quot;},&quot;citationTag&quot;:&quot;MENDELEY_CITATION_v3_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&quot;},{&quot;citationID&quot;:&quot;MENDELEY_CITATION_fdec6978-b004-4ea3-b870-c6a8f0d51502&quot;,&quot;citationItems&quot;:[{&quot;id&quot;:&quot;f51aea6e-8138-50bd-8cc1-c415d4f482b2&quot;,&quot;itemData&quot;:{&quot;DOI&quot;:&quot;10.29312/REMEXCA.V12I8.2704&quot;,&quot;ISSN&quot;:&quot;2007-0934&quot;,&quot;abstract&quot;:&quot;En una dimensión regional, se analizan dos factores claves de la actividad agrícola de Guasave, Sinaloa, México que influyen directamente en el desarrollo rural sustentable: la agricultura intensiva y la calidad de suelos. La presente investigación se diseñó como un estudio cualitativo de tipo descriptivo de este ramo productivo, para ello se aplicaron 164 entrevistas a productores y se analizaron diversos documentos con información del sector, tales como informes técnicos y boletines. Se encontró que la agricultura intensiva predomina en el área de estudio, con prácticas y patrones de producción de tipo tradicional, como son sistemas de riego de gravedad y uso desmedido de agroquímicos, lo cual presupone manejos agrarios que van en contra del contexto sustentable. Se requiere de investigación-acción para la implementación de estrategias de resiliencia con un enfoque sostenible, alineadas a la gobernanza ambiental adecuada de la actividad y a las necesidades del sector, toda vez que se siguen observando problemas como la pérdida de fertilidad de los suelos, un incremento en la salinidad y erosión en algunos predios agrícolas.&quot;,&quot;author&quot;:[{&quot;dropping-particle&quot;:&quot;&quot;,&quot;family&quot;:&quot;Cuadras-Berrelleza&quot;,&quot;given&quot;:&quot;Aldo Alan&quot;,&quot;non-dropping-particle&quot;:&quot;&quot;,&quot;parse-names&quot;:false,&quot;suffix&quot;:&quot;&quot;},{&quot;dropping-particle&quot;:&quot;&quot;,&quot;family&quot;:&quot;Peinado-Guevara&quot;,&quot;given&quot;:&quot;Víctor Manuel&quot;,&quot;non-dropping-particle&quot;:&quot;&quot;,&quot;parse-names&quot;:false,&quot;suffix&quot;:&quot;&quot;},{&quot;dropping-particle&quot;:&quot;&quot;,&quot;family&quot;:&quot;Peinado-Guevara&quot;,&quot;given&quot;:&quot;Héctor José&quot;,&quot;non-dropping-particle&quot;:&quot;&quot;,&quot;parse-names&quot;:false,&quot;suffix&quot;:&quot;&quot;},{&quot;dropping-particle&quot;:&quot;&quot;,&quot;family&quot;:&quot;López-López&quot;,&quot;given&quot;:&quot;José de Jesús&quot;,&quot;non-dropping-particle&quot;:&quot;&quot;,&quot;parse-names&quot;:false,&quot;suffix&quot;:&quot;&quot;},{&quot;dropping-particle&quot;:&quot;&quot;,&quot;family&quot;:&quot;Herrera-Barrientos&quot;,&quot;given&quot;:&quot;Jaime&quot;,&quot;non-dropping-particle&quot;:&quot;&quot;,&quot;parse-names&quot;:false,&quot;suffix&quot;:&quot;&quot;}],&quot;container-title&quot;:&quot;Revista mexicana de ciencias agrícolas&quot;,&quot;id&quot;:&quot;f51aea6e-8138-50bd-8cc1-c415d4f482b2&quot;,&quot;issue&quot;:&quot;8&quot;,&quot;issued&quot;:{&quot;date-parts&quot;:[[&quot;2021&quot;,&quot;12&quot;,&quot;7&quot;]]},&quot;page&quot;:&quot;1401-1414&quot;,&quot;publisher&quot;:&quot;Instituto Nacional de Investigaciones Forestales, Agrícolas y Pecuarias&quot;,&quot;title&quot;:&quot;Agricultura intensiva y calidad de suelos: retos para el desarrollo sustentable en Sinaloa&quot;,&quot;type&quot;:&quot;article-journal&quot;,&quot;volume&quot;:&quot;12&quot;},&quot;uris&quot;:[&quot;http://www.mendeley.com/documents/?uuid=d262b7c8-f026-37b4-b7e5-39a9d69c65a8&quot;],&quot;isTemporary&quot;:false,&quot;legacyDesktopId&quot;:&quot;d262b7c8-f026-37b4-b7e5-39a9d69c65a8&quot;}],&quot;properties&quot;:{&quot;noteIndex&quot;:0},&quot;isEdited&quot;:false,&quot;manualOverride&quot;:{&quot;citeprocText&quot;:&quot;(Cuadras-Berrelleza et al., 2021)&quot;,&quot;isManuallyOverridden&quot;:false,&quot;manualOverrideText&quot;:&quot;&quot;},&quot;citationTag&quot;:&quot;MENDELEY_CITATION_v3_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&quot;},{&quot;citationID&quot;:&quot;MENDELEY_CITATION_1e068ddb-3e90-4f1c-aa73-7abcd62c47ab&quot;,&quot;citationItems&quot;:[{&quot;id&quot;:&quot;d27be58d-cc43-5547-8fd8-a9865f442f5a&quot;,&quot;itemData&quot;:{&quot;ISBN&quot;:&quot;978-958-8901-24-4&quot;,&quot;author&quot;:[{&quot;dropping-particle&quot;:&quot;&quot;,&quot;family&quot;:&quot;MinAmbiente&quot;,&quot;given&quot;:&quot;&quot;,&quot;non-dropping-particle&quot;:&quot;&quot;,&quot;parse-names&quot;:false,&quot;suffix&quot;:&quot;&quot;}],&quot;id&quot;:&quot;d27be58d-cc43-5547-8fd8-a9865f442f5a&quot;,&quot;issued&quot;:{&quot;date-parts&quot;:[[&quot;2016&quot;]]},&quot;number-of-pages&quot;:&quot;94&quot;,&quot;title&quot;:&quot;Política para la gestión sostenible del suelo&quot;,&quot;type&quot;:&quot;report&quot;},&quot;uris&quot;:[&quot;http://www.mendeley.com/documents/?uuid=cb60a752-d996-3ac8-b9d4-62f6aa62a142&quot;],&quot;isTemporary&quot;:false,&quot;legacyDesktopId&quot;:&quot;cb60a752-d996-3ac8-b9d4-62f6aa62a142&quot;}],&quot;properties&quot;:{&quot;noteIndex&quot;:0},&quot;isEdited&quot;:false,&quot;manualOverride&quot;:{&quot;citeprocText&quot;:&quot;(MinAmbiente, 2016)&quot;,&quot;isManuallyOverridden&quot;:false,&quot;manualOverrideText&quot;:&quot;&quot;},&quot;citationTag&quot;:&quot;MENDELEY_CITATION_v3_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&quot;},{&quot;citationID&quot;:&quot;MENDELEY_CITATION_628d2484-b786-40f6-9db6-145ce1c2ce83&quot;,&quot;citationItems&quot;:[{&quot;id&quot;:&quot;21e928bd-4285-5ff9-9475-40a53f845b9f&quot;,&quot;itemData&quot;:{&quot;DOI&quot;:&quot;10.2499/0896295370&quot;,&quot;ISBN&quot;:&quot;0-89629-537-0&quot;,&quot;author&quot;:[{&quot;dropping-particle&quot;:&quot;&quot;,&quot;family&quot;:&quot;Nelson&quot;,&quot;given&quot;:&quot;Gerald&quot;,&quot;non-dropping-particle&quot;:&quot;&quot;,&quot;parse-names&quot;:false,&quot;suffix&quot;:&quot;&quot;},{&quot;dropping-particle&quot;:&quot;&quot;,&quot;family&quot;:&quot;Rosegrant&quot;,&quot;given&quot;:&quot;Mark&quot;,&quot;non-dropping-particle&quot;:&quot;&quot;,&quot;parse-names&quot;:false,&quot;suffix&quot;:&quot;&quot;},{&quot;dropping-particle&quot;:&quot;&quot;,&quot;family&quot;:&quot;Koo&quot;,&quot;given&quot;:&quot;Jawoo&quot;,&quot;non-dropping-particle&quot;:&quot;&quot;,&quot;parse-names&quot;:false,&quot;suffix&quot;:&quot;&quot;},{&quot;dropping-particle&quot;:&quot;&quot;,&quot;family&quot;:&quot;Robertson&quot;,&quot;given&quot;:&quot;Richard&quot;,&quot;non-dropping-particle&quot;:&quot;&quot;,&quot;parse-names&quot;:false,&quot;suffix&quot;:&quot;&quot;},{&quot;dropping-particle&quot;:&quot;&quot;,&quot;family&quot;:&quot;Sulser&quot;,&quot;given&quot;:&quot;Timothy&quot;,&quot;non-dropping-particle&quot;:&quot;&quot;,&quot;parse-names&quot;:false,&quot;suffix&quot;:&quot;&quot;},{&quot;dropping-particle&quot;:&quot;&quot;,&quot;family&quot;:&quot;Zhu&quot;,&quot;given&quot;:&quot;Tingju&quot;,&quot;non-dropping-particle&quot;:&quot;&quot;,&quot;parse-names&quot;:false,&quot;suffix&quot;:&quot;&quot;},{&quot;dropping-particle&quot;:&quot;&quot;,&quot;family&quot;:&quot;Ringler&quot;,&quot;given&quot;:&quot;Claudia&quot;,&quot;non-dropping-particle&quot;:&quot;&quot;,&quot;parse-names&quot;:false,&quot;suffix&quot;:&quot;&quot;},{&quot;dropping-particle&quot;:&quot;&quot;,&quot;family&quot;:&quot;Msangi&quot;,&quot;given&quot;:&quot;Siwa&quot;,&quot;non-dropping-particle&quot;:&quot;&quot;,&quot;parse-names&quot;:false,&quot;suffix&quot;:&quot;&quot;},{&quot;dropping-particle&quot;:&quot;&quot;,&quot;family&quot;:&quot;Palazzo&quot;,&quot;given&quot;:&quot;Amanda&quot;,&quot;non-dropping-particle&quot;:&quot;&quot;,&quot;parse-names&quot;:false,&quot;suffix&quot;:&quot;&quot;},{&quot;dropping-particle&quot;:&quot;&quot;,&quot;family&quot;:&quot;Batka&quot;,&quot;given&quot;:&quot;Miroslav&quot;,&quot;non-dropping-particle&quot;:&quot;&quot;,&quot;parse-names&quot;:false,&quot;suffix&quot;:&quot;&quot;},{&quot;dropping-particle&quot;:&quot;&quot;,&quot;family&quot;:&quot;Magalhaes&quot;,&quot;given&quot;:&quot;Marilia&quot;,&quot;non-dropping-particle&quot;:&quot;&quot;,&quot;parse-names&quot;:false,&quot;suffix&quot;:&quot;&quot;},{&quot;dropping-particle&quot;:&quot;&quot;,&quot;family&quot;:&quot;Valmonte-Santos&quot;,&quot;given&quot;:&quot;Rowena&quot;,&quot;non-dropping-particle&quot;:&quot;&quot;,&quot;parse-names&quot;:false,&quot;suffix&quot;:&quot;&quot;},{&quot;dropping-particle&quot;:&quot;&quot;,&quot;family&quot;:&quot;Ewing&quot;,&quot;given&quot;:&quot;Mandy&quot;,&quot;non-dropping-particle&quot;:&quot;&quot;,&quot;parse-names&quot;:false,&quot;suffix&quot;:&quot;&quot;},{&quot;dropping-particle&quot;:&quot;&quot;,&quot;family&quot;:&quot;Lee&quot;,&quot;given&quot;:&quot;David&quot;,&quot;non-dropping-particle&quot;:&quot;&quot;,&quot;parse-names&quot;:false,&quot;suffix&quot;:&quot;&quot;}],&quot;id&quot;:&quot;21e928bd-4285-5ff9-9475-40a53f845b9f&quot;,&quot;issued&quot;:{&quot;date-parts&quot;:[[&quot;2009&quot;]]},&quot;publisher&quot;:&quot;International Food Policy Research Institute (IFPRI).&quot;,&quot;publisher-place&quot;:&quot;Washington, D.C.&quot;,&quot;title&quot;:&quot;Climate change: Impact on agriculture and costs of adaptation.&quot;,&quot;type&quot;:&quot;book&quot;},&quot;uris&quot;:[&quot;http://www.mendeley.com/documents/?uuid=816d2e25-a474-3eaf-9156-6eb494e176cb&quot;],&quot;isTemporary&quot;:false,&quot;legacyDesktopId&quot;:&quot;816d2e25-a474-3eaf-9156-6eb494e176cb&quot;}],&quot;properties&quot;:{&quot;noteIndex&quot;:0},&quot;isEdited&quot;:false,&quot;manualOverride&quot;:{&quot;citeprocText&quot;:&quot;(Nelson et al., 2009)&quot;,&quot;isManuallyOverridden&quot;:false,&quot;manualOverrideText&quot;:&quot;&quot;},&quot;citationTag&quot;:&quot;MENDELEY_CITATION_v3_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&quot;},{&quot;citationID&quot;:&quot;MENDELEY_CITATION_566bd9a4-74f2-4e16-a2d6-fff8f229702a&quot;,&quot;citationItems&quot;:[{&quot;id&quot;:&quot;c2efb4df-b914-58aa-8c80-92858c380af2&quot;,&quot;itemData&quot;:{&quot;DOI&quot;:&quot;10.22267/rcia.183501.85&quot;,&quot;ISSN&quot;:&quot;2256-2273&quot;,&quot;author&quot;:[{&quot;dropping-particle&quot;:&quot;&quot;,&quot;family&quot;:&quot;Burbano Orjuela&quot;,&quot;given&quot;:&quot;Hernán&quot;,&quot;non-dropping-particle&quot;:&quot;&quot;,&quot;parse-names&quot;:false,&quot;suffix&quot;:&quot;&quot;}],&quot;container-title&quot;:&quot;Revista de Ciencias Agrícolas&quot;,&quot;id&quot;:&quot;c2efb4df-b914-58aa-8c80-92858c380af2&quot;,&quot;issue&quot;:&quot;1&quot;,&quot;issued&quot;:{&quot;date-parts&quot;:[[&quot;2018&quot;]]},&quot;page&quot;:&quot;82-96&quot;,&quot;title&quot;:&quot;El carbono orgánico del suelo y su papel frente al cambio climático The soil organic carbon and its role on climate change&quot;,&quot;type&quot;:&quot;article-journal&quot;,&quot;volume&quot;:&quot;34&quot;},&quot;uris&quot;:[&quot;http://www.mendeley.com/documents/?uuid=799f00cb-b38c-3eee-afbc-a440ad153aa2&quot;],&quot;isTemporary&quot;:false,&quot;legacyDesktopId&quot;:&quot;799f00cb-b38c-3eee-afbc-a440ad153aa2&quot;}],&quot;properties&quot;:{&quot;noteIndex&quot;:0},&quot;isEdited&quot;:false,&quot;manualOverride&quot;:{&quot;citeprocText&quot;:&quot;(Burbano Orjuela, 2018a)&quot;,&quot;isManuallyOverridden&quot;:false,&quot;manualOverrideText&quot;:&quot;&quot;},&quot;citationTag&quot;:&quot;MENDELEY_CITATION_v3_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&quot;},{&quot;citationID&quot;:&quot;MENDELEY_CITATION_66b3fe54-e0ae-4361-b683-b83c5279884d&quot;,&quot;citationItems&quot;:[{&quot;id&quot;:&quot;d27be58d-cc43-5547-8fd8-a9865f442f5a&quot;,&quot;itemData&quot;:{&quot;ISBN&quot;:&quot;978-958-8901-24-4&quot;,&quot;author&quot;:[{&quot;dropping-particle&quot;:&quot;&quot;,&quot;family&quot;:&quot;MinAmbiente&quot;,&quot;given&quot;:&quot;&quot;,&quot;non-dropping-particle&quot;:&quot;&quot;,&quot;parse-names&quot;:false,&quot;suffix&quot;:&quot;&quot;}],&quot;id&quot;:&quot;d27be58d-cc43-5547-8fd8-a9865f442f5a&quot;,&quot;issued&quot;:{&quot;date-parts&quot;:[[&quot;2016&quot;]]},&quot;number-of-pages&quot;:&quot;94&quot;,&quot;title&quot;:&quot;Política para la gestión sostenible del suelo&quot;,&quot;type&quot;:&quot;report&quot;},&quot;uris&quot;:[&quot;http://www.mendeley.com/documents/?uuid=cb60a752-d996-3ac8-b9d4-62f6aa62a142&quot;],&quot;isTemporary&quot;:false,&quot;legacyDesktopId&quot;:&quot;cb60a752-d996-3ac8-b9d4-62f6aa62a142&quot;}],&quot;properties&quot;:{&quot;noteIndex&quot;:0},&quot;isEdited&quot;:false,&quot;manualOverride&quot;:{&quot;citeprocText&quot;:&quot;(MinAmbiente, 2016)&quot;,&quot;isManuallyOverridden&quot;:false,&quot;manualOverrideText&quot;:&quot;&quot;},&quot;citationTag&quot;:&quot;MENDELEY_CITATION_v3_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&quot;},{&quot;citationID&quot;:&quot;MENDELEY_CITATION_be3fccbf-c2ed-48fb-af58-749f2506ea96&quot;,&quot;citationItems&quot;:[{&quot;id&quot;:&quot;9a29f6a9-3065-560e-beff-4848a466af4e&quot;,&quot;itemData&quot;:{&quot;ISBN&quot;:&quot;978-987-46277-0-4&quot;,&quot;author&quot;:[{&quot;dropping-particle&quot;:&quot;&quot;,&quot;family&quot;:&quot;Andrade&quot;,&quot;given&quot;:&quot;Fernando&quot;,&quot;non-dropping-particle&quot;:&quot;&quot;,&quot;parse-names&quot;:false,&quot;suffix&quot;:&quot;&quot;}],&quot;edition&quot;:&quot;1&quot;,&quot;id&quot;:&quot;9a29f6a9-3065-560e-beff-4848a466af4e&quot;,&quot;issued&quot;:{&quot;date-parts&quot;:[[&quot;2016&quot;]]},&quot;number-of-pages&quot;:&quot;136&quot;,&quot;publisher&quot;:&quot;International Plant Nutrition Institute&quot;,&quot;title&quot;:&quot;Los desafíos de la Agricultura&quot;,&quot;type&quot;:&quot;book&quot;},&quot;uris&quot;:[&quot;http://www.mendeley.com/documents/?uuid=892df8c8-9851-37fd-a9bd-3e870e67efd8&quot;],&quot;isTemporary&quot;:false,&quot;legacyDesktopId&quot;:&quot;892df8c8-9851-37fd-a9bd-3e870e67efd8&quot;}],&quot;properties&quot;:{&quot;noteIndex&quot;:0},&quot;isEdited&quot;:false,&quot;manualOverride&quot;:{&quot;citeprocText&quot;:&quot;(Andrade, 2016)&quot;,&quot;isManuallyOverridden&quot;:false,&quot;manualOverrideText&quot;:&quot;&quot;},&quot;citationTag&quot;:&quot;MENDELEY_CITATION_v3_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&quot;},{&quot;citationID&quot;:&quot;MENDELEY_CITATION_fb972098-59fc-42a8-936e-ed6514ab1af6&quot;,&quot;citationItems&quot;:[{&quot;id&quot;:&quot;93025e80-8b73-5838-95be-abe36be31125&quot;,&quot;itemData&quot;:{&quot;DOI&quot;:&quot;10.22267/rtend.171801.68&quot;,&quot;ISSN&quot;:&quot;0124-8693&quot;,&quot;abstract&quot;:&quot;La preservación del suelo resulta prioritaria para todos los sectores de la sociedad, porque su deterioro repercute adversamente sobre otros componentes de la naturaleza y sobre los grupos sociales que necesitan del suelo. Por eso, es importante mantener la calidad y salud del suelo, para que la sociedad pueda garantizar su seguridad alimentaria y disfrutar de los servicios ecosistémicos que presta este recurso natural. En este artículo se revisan los conceptos centrales que buscan explicar las relaciones del suelo con la naturaleza y con las personas.&quot;,&quot;author&quot;:[{&quot;dropping-particle&quot;:&quot;&quot;,&quot;family&quot;:&quot;Burbano Orjuela&quot;,&quot;given&quot;:&quot;Hernán&quot;,&quot;non-dropping-particle&quot;:&quot;&quot;,&quot;parse-names&quot;:false,&quot;suffix&quot;:&quot;&quot;}],&quot;container-title&quot;:&quot;Tendencias&quot;,&quot;id&quot;:&quot;93025e80-8b73-5838-95be-abe36be31125&quot;,&quot;issue&quot;:&quot;1&quot;,&quot;issued&quot;:{&quot;date-parts&quot;:[[&quot;2017&quot;]]},&quot;page&quot;:&quot;118-126&quot;,&quot;title&quot;:&quot;La calidad y salud del suelo influyen sobre la naturaleza y la sociedad&quot;,&quot;type&quot;:&quot;article-journal&quot;,&quot;volume&quot;:&quot;18&quot;},&quot;uris&quot;:[&quot;http://www.mendeley.com/documents/?uuid=e5256c5a-f981-4689-8f9d-11ef9ad0a4b9&quot;],&quot;isTemporary&quot;:false,&quot;legacyDesktopId&quot;:&quot;e5256c5a-f981-4689-8f9d-11ef9ad0a4b9&quot;}],&quot;properties&quot;:{&quot;noteIndex&quot;:0},&quot;isEdited&quot;:false,&quot;manualOverride&quot;:{&quot;citeprocText&quot;:&quot;(Burbano Orjuela, 2017)&quot;,&quot;isManuallyOverridden&quot;:false,&quot;manualOverrideText&quot;:&quot;&quot;},&quot;citationTag&quot;:&quot;MENDELEY_CITATION_v3_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&quot;},{&quot;citationID&quot;:&quot;MENDELEY_CITATION_5672fdd0-ad66-448e-8867-e679f6532554&quot;,&quot;properties&quot;:{&quot;noteIndex&quot;:0},&quot;isEdited&quot;:false,&quot;manualOverride&quot;:{&quot;isManuallyOverridden&quot;:false,&quot;citeprocText&quot;:&quot;(Imas et al., 2020)&quot;,&quot;manualOverrideText&quot;:&quot;&quot;},&quot;citationTag&quot;:&quot;MENDELEY_CITATION_v3_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&quot;,&quot;citationItems&quot;:[{&quot;id&quot;:&quot;f2ec3818-b16f-3a2a-a691-e67352c65cc7&quot;,&quot;itemData&quot;:{&quot;type&quot;:&quot;book&quot;,&quot;id&quot;:&quot;f2ec3818-b16f-3a2a-a691-e67352c65cc7&quot;,&quot;title&quot;:&quot;AGRICULTURA FAMILIAR CAMPESINA. RIESGOS, POBREZA, VULNERABILIDAD Y PROTECCIÓN SOCIAL&quot;,&quot;author&quot;:[{&quot;family&quot;:&quot;Imas&quot;,&quot;given&quot;:&quot;Víctor Julio&quot;,&quot;parse-names&quot;:false,&quot;dropping-particle&quot;:&quot;&quot;,&quot;non-dropping-particle&quot;:&quot;&quot;},{&quot;family&quot;:&quot;Serafini&quot;,&quot;given&quot;:&quot;Verónica&quot;,&quot;parse-names&quot;:false,&quot;dropping-particle&quot;:&quot;&quot;,&quot;non-dropping-particle&quot;:&quot;&quot;},{&quot;family&quot;:&quot;Milcíades&quot;,&quot;given&quot;:&quot;Flecha&quot;,&quot;parse-names&quot;:false,&quot;dropping-particle&quot;:&quot;&quot;,&quot;non-dropping-particle&quot;:&quot;&quot;},{&quot;family&quot;:&quot;Benítez&quot;,&quot;given&quot;:&quot;Gerardo&quot;,&quot;parse-names&quot;:false,&quot;dropping-particle&quot;:&quot;&quot;,&quot;non-dropping-particle&quot;:&quot;&quot;},{&quot;family&quot;:&quot;Gómez&quot;,&quot;given&quot;:&quot;José Manuel&quot;,&quot;parse-names&quot;:false,&quot;dropping-particle&quot;:&quot;&quot;,&quot;non-dropping-particle&quot;:&quot;&quot;}],&quot;ISBN&quot;:&quot;978-99967-973-8-5&quot;,&quot;issued&quot;:{&quot;date-parts&quot;:[[2020]]}},&quot;isTemporary&quot;:false,&quot;suppress-author&quot;:false,&quot;composite&quot;:false,&quot;author-only&quot;:false}]},{&quot;citationID&quot;:&quot;MENDELEY_CITATION_d5b1df17-ac55-40cc-bfce-b92c5adc8bcc&quot;,&quot;properties&quot;:{&quot;noteIndex&quot;:0},&quot;isEdited&quot;:false,&quot;manualOverride&quot;:{&quot;isManuallyOverridden&quot;:false,&quot;citeprocText&quot;:&quot;(Nicholls &amp;#38; Altieri, 2019)&quot;,&quot;manualOverrideText&quot;:&quot;&quot;},&quot;citationTag&quot;:&quot;MENDELEY_CITATION_v3_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&quot;,&quot;citationItems&quot;:[{&quot;id&quot;:&quot;2fda65ad-4c91-3fba-92d4-02bfce346665&quot;,&quot;itemData&quot;:{&quot;type&quot;:&quot;article-journal&quot;,&quot;id&quot;:&quot;2fda65ad-4c91-3fba-92d4-02bfce346665&quot;,&quot;title&quot;:&quot;Bases agroecológicas para la adaptación de la agricultura al cambio climático&quot;,&quot;author&quot;:[{&quot;family&quot;:&quot;Nicholls&quot;,&quot;given&quot;:&quot;Clara Inés&quot;,&quot;parse-names&quot;:false,&quot;dropping-particle&quot;:&quot;&quot;,&quot;non-dropping-particle&quot;:&quot;&quot;},{&quot;family&quot;:&quot;Altieri&quot;,&quot;given&quot;:&quot;Miguel A.&quot;,&quot;parse-names&quot;:false,&quot;dropping-particle&quot;:&quot;&quot;,&quot;non-dropping-particle&quot;:&quot;&quot;}],&quot;accessed&quot;:{&quot;date-parts&quot;:[[2024,7,15]]},&quot;URL&quot;:&quot;https://www.scielo.sa.cr/pdf/cinn/v11n1/1659-4266-cinn-11-01-55.pdf&quot;,&quot;issued&quot;:{&quot;date-parts&quot;:[[2019]]},&quot;abstract&quot;:&quot;Agro-ecological bases for the adaptation of agriculture to climate change. Although many indigenous and peasant populations are particularly exposed to the impacts of climate change and are vulnerable, many communities are actively responding to the changing climate and have demonstrated innovation and resilience, using a variety of strategies to deal with droughts, floods, hurricanes, etc. In this article we argue that traditional agricultural systems offer a wide range of options and management designs that increase the functional biodiversity of crop fields, and therefore, reinforce the resilience of agroecosystems. Many of the traditional agroecological strategies that reduce vulnerability to climatic variability includes the diversification of crops, the maintenance of local genetic diversity, animal integration, the addition of organic matter to the soil, the harvesting of water, etc. Many agroecologists have deciphered the agroecological principles that underlie these strategies which can be adapted taking different technological forms (according to the size of the farms) to design modern agricultural systems so that they become increasingly resilient to the climatic extremes. RESUMEN: Aunque muchas poblaciones indígenas y campesinas están particularmente expuestas a los impactos del cambio climático y son vulnerables, algunas comunidades están activamente respondiendo al clima cambiante y han demostrado innovación y resiliencia, utilizando una diversidad de estrategias para enfrentar las sequías, inundaciones, huracanes, etc. En este artículo argumentamos que los sistemas agrí-colas tradicionales ofrecen una amplia gama de opciones y diseños de manejo que incrementan la biodiversidad funcional en los campos de cultivo, y por consiguiente, refuerzan la resiliencia de los agroeco-sistemas. Muchas de las estrategias agroecológicas tradicionales que reducen la vulnerabilidad a la variabilidad climática incluyen la di-versificación de cultivos, el mantenimiento de la diversidad genética local, la integración animal, la adición de materia orgánica al suelo, la cosecha de agua, etc. Varios agroecólogos han descifrado los principios agroecológicos que subyacen a estas estrategias, los cuales se pueden adaptar tomando diferentes formas tecnológicas (de acuerdo al tama-ño de las fincas) para diseñar sistemas agrícolas modernos que se tor-nen cada vez más resilientes a los extremos climáticos. La literatura científica y popular reporta que la agri-cultura es una de las actividades que mas será afectada por el cambio climático, debido a los impactos que las altas temperaturas, sequias y tormentas que se antici-pan tendrán sobre la producción vegetal y animal (IPPC, 2014). Generalmente se predice que el cambio climáti-co agravará aún mas las condiciones que experimentan la(o)s campesina(o)s y pequeña(o)s agricultores como resultado de la pobreza, la sensibilidad de sus localida-des geográficas (áreas de secano, laderas, etc.) y su alta dependencia en recursos naturales (Jones &amp; Thornton, 2003). Si bien es cierto que muchas poblaciones indí-genas y campesinas están particularmente expuestas a los impactos del cambio climático y son vulnerables, muchas comunidades están activamente respondiendo al clima cambiante y han demostrado innovación y re-siliencia, utilizando una diversidad de estrategias para enfrentar las sequías, inundaciones, huracanes, etc. A pe-sar de estas evidencias, la conclusión prevalente es que la agricultura campesina es particularmente susceptible por su condición de marginalidad y que, aunque los cam-pesinos tengan experiencia en lidiar con la variabilidad climática, sus estrategias tradicionales para enfrentarla no serán suficientes para soportar y resistir la severidad de la variabilidad que se predice.&quot;,&quot;issue&quot;:&quot;1&quot;,&quot;volume&quot;:&quot;11&quot;,&quot;container-title-short&quot;:&quot;&quot;},&quot;isTemporary&quot;:false,&quot;suppress-author&quot;:false,&quot;composite&quot;:false,&quot;author-only&quot;:false}]},{&quot;citationID&quot;:&quot;MENDELEY_CITATION_63dbeaf9-8265-4839-8c45-dd1abcc48dbc&quot;,&quot;properties&quot;:{&quot;noteIndex&quot;:0},&quot;isEdited&quot;:false,&quot;manualOverride&quot;:{&quot;isManuallyOverridden&quot;:false,&quot;citeprocText&quot;:&quot;(Chávez Caiza &amp;#38; Burbano Rodríguez, 2021)&quot;,&quot;manualOverrideText&quot;:&quot;&quot;},&quot;citationTag&quot;:&quot;MENDELEY_CITATION_v3_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&quot;,&quot;citationItems&quot;:[{&quot;id&quot;:&quot;d39cf856-5d7d-3959-8f0d-bbb2684d5dff&quot;,&quot;itemData&quot;:{&quot;type&quot;:&quot;article-journal&quot;,&quot;id&quot;:&quot;d39cf856-5d7d-3959-8f0d-bbb2684d5dff&quot;,&quot;title&quot;:&quot;Cambio climático y sistemas de producción agroecológico, orgánico y convencional en los cantones Cayambe y Pedro Moncayo&quot;,&quot;author&quot;:[{&quot;family&quot;:&quot;Chávez Caiza&quot;,&quot;given&quot;:&quot;Jenny Paola&quot;,&quot;parse-names&quot;:false,&quot;dropping-particle&quot;:&quot;&quot;,&quot;non-dropping-particle&quot;:&quot;&quot;},{&quot;family&quot;:&quot;Burbano Rodríguez&quot;,&quot;given&quot;:&quot;Rafael Tiberio&quot;,&quot;parse-names&quot;:false,&quot;dropping-particle&quot;:&quot;&quot;,&quot;non-dropping-particle&quot;:&quot;&quot;}],&quot;container-title&quot;:&quot;Letras Verdes. Revista Latinoamericana de Estudios Socioambientales&quot;,&quot;DOI&quot;:&quot;10.17141/letrasverdes.29.2021.4751&quot;,&quot;issued&quot;:{&quot;date-parts&quot;:[[2021,3,31]]},&quot;page&quot;:&quot;149-166&quot;,&quot;abstract&quot;:&quot;Este artículo analiza el impacto del cambio climático en el modo de producción agroecológico, orgánico y convencional en los cantones Cayambe y Pedro Moncayo debido a los retos que enfrenta Ecuador en el sector agropecuario, ante el deterioro ambiental. Se aplica la metodología del análisis multicriterio para determinar la alternativa de producción agrícola que mejor se ajusta a la zona, a partir de su comportamiento en los siguientes indicadores: económico, social, ambiental, institucional y productivo. En la investigación participaron productores agroecológicos, orgánicos y convencionales. La información se recopiló mediante encuestas y análisis de documentos oficiales de los cantones. El cumplimiento de cada uno de los pasos del análisis multicriterio permitió conocer que el mejor sistema productivo es la agroecología. Le sigue la producción orgánica y el menos adecuado es el sistema de producción convencional. Estos sistemas son afectados de manera distinta por el cambio climático, y su contribución al deterioro ambiental también es diferenciada. La huella hídrica y de carbono para el sistema orgánico es de 39.9 m3/Ton y 1.07 TonCO2/Kg de producto, respectivamente; mientras que para el sistema agroecológico es de 77.3 m3/Ton y 0.10 TonCO2/Kg de producto. El sistema convencional es el peor puntuado, con un impacto ambiental más fuerte (huella hídrica = 300.3m3/Ton y huella de carbono = 1.87TonCO2/Kg de producto). El estudio muestra que el sistema mejor preparado ante estos eventos es el agroecológico. Ello significa que es menos vulnerable y más resiliente, en términos generales.&quot;,&quot;publisher&quot;:&quot;Facultad Latinoamericana de Ciencias Sociales, Ecuador (FLACSO)&quot;,&quot;issue&quot;:&quot;29&quot;},&quot;isTemporary&quot;:false,&quot;suppress-author&quot;:false,&quot;composite&quot;:false,&quot;author-only&quot;:false}]},{&quot;citationID&quot;:&quot;MENDELEY_CITATION_7f4d0625-cdd0-4293-b004-021f7591d643&quot;,&quot;properties&quot;:{&quot;noteIndex&quot;:0},&quot;isEdited&quot;:false,&quot;manualOverride&quot;:{&quot;isManuallyOverridden&quot;:false,&quot;citeprocText&quot;:&quot;(Cevallos-Suarez et al., 2019)&quot;,&quot;manualOverrideText&quot;:&quot;&quot;},&quot;citationTag&quot;:&quot;MENDELEY_CITATION_v3_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&quot;,&quot;citationItems&quot;:[{&quot;id&quot;:&quot;8aaeafa4-ff2f-3c87-b799-4ccb1c35566b&quot;,&quot;itemData&quot;:{&quot;type&quot;:&quot;article-journal&quot;,&quot;id&quot;:&quot;8aaeafa4-ff2f-3c87-b799-4ccb1c35566b&quot;,&quot;title&quot;:&quot;Desarrollo de sistemas de producción agroecológica: Dimensiones e indicadores para su estudio&quot;,&quot;author&quot;:[{&quot;family&quot;:&quot;Cevallos-Suarez&quot;,&quot;given&quot;:&quot;Marco&quot;,&quot;parse-names&quot;:false,&quot;dropping-particle&quot;:&quot;&quot;,&quot;non-dropping-particle&quot;:&quot;&quot;},{&quot;family&quot;:&quot;Urdaneta-Ortega&quot;,&quot;given&quot;:&quot;Fátima&quot;,&quot;parse-names&quot;:false,&quot;dropping-particle&quot;:&quot;&quot;,&quot;non-dropping-particle&quot;:&quot;&quot;},{&quot;family&quot;:&quot;Jaimes&quot;,&quot;given&quot;:&quot;Edgar&quot;,&quot;parse-names&quot;:false,&quot;dropping-particle&quot;:&quot;&quot;,&quot;non-dropping-particle&quot;:&quot;&quot;}],&quot;container-title&quot;:&quot;Revista de Ciencias Sociales (RCS)&quot;,&quot;ISSN&quot;:&quot;1315-9518&quot;,&quot;URL&quot;:&quot;http://creativecommons.org/licenses/by-nc-sa/3.0/deed.es_ESORCID:https://orcid.org/0000-0002-5378-7287http://orcid.org/0000-0003-3653-0241&quot;,&quot;issued&quot;:{&quot;date-parts&quot;:[[2019]]},&quot;page&quot;:&quot;172-185&quot;,&quot;abstract&quot;:&quot;Resumen En Latinoamérica, se han impulsado procesos de transición y conversión de sistemas agrícolas de producción convencional a sistemas de producción agroecológicos. Sin embargo, no ha sido posible observar su desarrollo, debido a que ha prevalecido el enfoque tecnológico sobre los problemas sociales. Se realizó esta investigación, con el objetivo de diseñar una propuesta de dimensiones e indicadores para el estudio integral del nivel de desarrollo de sistemas de producción agroecológica. Metodológicamente implicó el análisis de enfoques y teorías bajo un episteme racionalista deductivo. Los resultados plantean la necesidad de avanzar del modelo basado en la relación producción-consumo al análisis de las relaciones complejas que se dan entre el ecosistema y las culturas, estudiando el efecto de la intervención humana en los ecosistemas, incorporando instrumentos de análisis holístico para abordar los sistemas socio-ecológicos, los cuales hacen énfasis en la racionalidad ecológica de la agricultura agroecológica. Se concluye en un enfoque de transición social agroecológico con tres dimensiones: Socio-cultural (dinámicas de cooperación social); socio-política (políticas públicas de fomento agroecológico) y eco-estructural, (manejo de los recursos naturales), lo que debería expresar una mejor racionalidad económica productiva del sistema agroecológico (condiciones sociales, productividad, tecnología ambientalmente amigable), considerada como variable proxi del grado de desarrollo. Palabras clave: Sistemas de producción agroecológicos; cooperación social; manejo de recursos naturales; políticas públicas; racionalidad económica productiva.&quot;,&quot;issue&quot;:&quot;3&quot;,&quot;volume&quot;:&quot;25&quot;,&quot;container-title-short&quot;:&quot;&quot;},&quot;isTemporary&quot;:false,&quot;suppress-author&quot;:false,&quot;composite&quot;:false,&quot;author-only&quot;:false}]},{&quot;citationID&quot;:&quot;MENDELEY_CITATION_a28542d7-4ab4-44b6-80af-c43785e7032b&quot;,&quot;properties&quot;:{&quot;noteIndex&quot;:0},&quot;isEdited&quot;:false,&quot;manualOverride&quot;:{&quot;isManuallyOverridden&quot;:false,&quot;citeprocText&quot;:&quot;(Noguera-Talavera et al., 2019)&quot;,&quot;manualOverrideText&quot;:&quot;&quot;},&quot;citationTag&quot;:&quot;MENDELEY_CITATION_v3_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&quot;,&quot;citationItems&quot;:[{&quot;id&quot;:&quot;1d15bba5-030a-3371-9186-7701331fff5f&quot;,&quot;itemData&quot;:{&quot;type&quot;:&quot;article-journal&quot;,&quot;id&quot;:&quot;1d15bba5-030a-3371-9186-7701331fff5f&quot;,&quot;title&quot;:&quot;Bases teórico-metodológicas para el diseño de sistemas\nagroecológicos&quot;,&quot;author&quot;:[{&quot;family&quot;:&quot;Noguera-Talavera&quot;,&quot;given&quot;:&quot;Álvaro&quot;,&quot;parse-names&quot;:false,&quot;dropping-particle&quot;:&quot;&quot;,&quot;non-dropping-particle&quot;:&quot;&quot;},{&quot;family&quot;:&quot;Salmerón&quot;,&quot;given&quot;:&quot;Francisco&quot;,&quot;parse-names&quot;:false,&quot;dropping-particle&quot;:&quot;&quot;,&quot;non-dropping-particle&quot;:&quot;&quot;},{&quot;family&quot;:&quot;Reyes-Sánchez&quot;,&quot;given&quot;:&quot;Nadir&quot;,&quot;parse-names&quot;:false,&quot;dropping-particle&quot;:&quot;&quot;,&quot;non-dropping-particle&quot;:&quot;&quot;}],&quot;container-title&quot;:&quot;Revista de la Facultad de Ciencias Agrarias&quot;,&quot;container-title-short&quot;:&quot;Rev Fac Cienc Agrar&quot;,&quot;ISSN&quot;:&quot;1853-8665&quot;,&quot;issued&quot;:{&quot;date-parts&quot;:[[2019]]},&quot;page&quot;:&quot;273-293&quot;,&quot;abstract&quot;:&quot;Resumen Este artículo resume una serie de experiencias que desde la aplicación de los principios agroecológicos permiten identificar y analizar definiciones, estructuras, dimensiones-escalas, métodos de evaluación de sistemas agroecológicos, con el objetivo de orientar el análisis hacia el entendimiento de los procesos que promueven una alta funcionalidad ecológica, social y económica. La construcción del marco teórico-metodológico presentado es resultado de una revisión de experiencias con enfoque agroecológico, en agroecosistemas estratégicos para la conservación de los recursos naturales. Los resultados de la revisión y análisis de las experiencias muestran que, en el contexto de la agricultura con enfoque de sostenibilidad, las prácticas agroecológicas han evolucionado producto de experiencias tradicionales acumuladas por productores individuales, asociaciones, y proyectos de desa-rrollo territorial; asumiendo diferentes escalas de aplicación y mecanismos. Con base en las dinámicas productivas con enfoque agroecológico, fue posible extraer y sintetizar de cada experiencia los indicadores de procesos funcionales como conservación de la biodi-versidad, servicios ecosistémicos, productividad, conectividad del paisaje, para el logro de objetivos ecológicos, sociales y económicos, tanto a escala de finca como de cuenca, y paisaje. Es bajo esta premisa, que se planea que el análisis de sistemas agroecológicos a diferentes escalas, conlleva elementos metodológicos integradores de distintas visiones de la gestión de recursos naturales, debido a que su dinámica está determinada por elementos naturales y sociales con múltiples contextos. Palabras claves Agricultura sostenible • procesos ecológicos • evaluación agroecológica&quot;,&quot;issue&quot;:&quot;1&quot;,&quot;volume&quot;:&quot;51&quot;},&quot;isTemporary&quot;:false,&quot;suppress-author&quot;:false,&quot;composite&quot;:false,&quot;author-only&quot;:false}]},{&quot;citationID&quot;:&quot;MENDELEY_CITATION_ded3a495-00c6-4135-b539-572d496cf75c&quot;,&quot;properties&quot;:{&quot;noteIndex&quot;:0},&quot;isEdited&quot;:false,&quot;manualOverride&quot;:{&quot;isManuallyOverridden&quot;:false,&quot;citeprocText&quot;:&quot;(Nicholls &amp;#38; Altieri, 2019)&quot;,&quot;manualOverrideText&quot;:&quot;&quot;},&quot;citationTag&quot;:&quot;MENDELEY_CITATION_v3_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&quot;,&quot;citationItems&quot;:[{&quot;id&quot;:&quot;2fda65ad-4c91-3fba-92d4-02bfce346665&quot;,&quot;itemData&quot;:{&quot;type&quot;:&quot;article-journal&quot;,&quot;id&quot;:&quot;2fda65ad-4c91-3fba-92d4-02bfce346665&quot;,&quot;title&quot;:&quot;Bases agroecológicas para la adaptación de la agricultura al cambio climático&quot;,&quot;author&quot;:[{&quot;family&quot;:&quot;Nicholls&quot;,&quot;given&quot;:&quot;Clara Inés&quot;,&quot;parse-names&quot;:false,&quot;dropping-particle&quot;:&quot;&quot;,&quot;non-dropping-particle&quot;:&quot;&quot;},{&quot;family&quot;:&quot;Altieri&quot;,&quot;given&quot;:&quot;Miguel A.&quot;,&quot;parse-names&quot;:false,&quot;dropping-particle&quot;:&quot;&quot;,&quot;non-dropping-particle&quot;:&quot;&quot;}],&quot;accessed&quot;:{&quot;date-parts&quot;:[[2024,7,15]]},&quot;URL&quot;:&quot;https://www.scielo.sa.cr/pdf/cinn/v11n1/1659-4266-cinn-11-01-55.pdf&quot;,&quot;issued&quot;:{&quot;date-parts&quot;:[[2019]]},&quot;abstract&quot;:&quot;Agro-ecological bases for the adaptation of agriculture to climate change. Although many indigenous and peasant populations are particularly exposed to the impacts of climate change and are vulnerable, many communities are actively responding to the changing climate and have demonstrated innovation and resilience, using a variety of strategies to deal with droughts, floods, hurricanes, etc. In this article we argue that traditional agricultural systems offer a wide range of options and management designs that increase the functional biodiversity of crop fields, and therefore, reinforce the resilience of agroecosystems. Many of the traditional agroecological strategies that reduce vulnerability to climatic variability includes the diversification of crops, the maintenance of local genetic diversity, animal integration, the addition of organic matter to the soil, the harvesting of water, etc. Many agroecologists have deciphered the agroecological principles that underlie these strategies which can be adapted taking different technological forms (according to the size of the farms) to design modern agricultural systems so that they become increasingly resilient to the climatic extremes. RESUMEN: Aunque muchas poblaciones indígenas y campesinas están particularmente expuestas a los impactos del cambio climático y son vulnerables, algunas comunidades están activamente respondiendo al clima cambiante y han demostrado innovación y resiliencia, utilizando una diversidad de estrategias para enfrentar las sequías, inundaciones, huracanes, etc. En este artículo argumentamos que los sistemas agrí-colas tradicionales ofrecen una amplia gama de opciones y diseños de manejo que incrementan la biodiversidad funcional en los campos de cultivo, y por consiguiente, refuerzan la resiliencia de los agroeco-sistemas. Muchas de las estrategias agroecológicas tradicionales que reducen la vulnerabilidad a la variabilidad climática incluyen la di-versificación de cultivos, el mantenimiento de la diversidad genética local, la integración animal, la adición de materia orgánica al suelo, la cosecha de agua, etc. Varios agroecólogos han descifrado los principios agroecológicos que subyacen a estas estrategias, los cuales se pueden adaptar tomando diferentes formas tecnológicas (de acuerdo al tama-ño de las fincas) para diseñar sistemas agrícolas modernos que se tor-nen cada vez más resilientes a los extremos climáticos. La literatura científica y popular reporta que la agri-cultura es una de las actividades que mas será afectada por el cambio climático, debido a los impactos que las altas temperaturas, sequias y tormentas que se antici-pan tendrán sobre la producción vegetal y animal (IPPC, 2014). Generalmente se predice que el cambio climáti-co agravará aún mas las condiciones que experimentan la(o)s campesina(o)s y pequeña(o)s agricultores como resultado de la pobreza, la sensibilidad de sus localida-des geográficas (áreas de secano, laderas, etc.) y su alta dependencia en recursos naturales (Jones &amp; Thornton, 2003). Si bien es cierto que muchas poblaciones indí-genas y campesinas están particularmente expuestas a los impactos del cambio climático y son vulnerables, muchas comunidades están activamente respondiendo al clima cambiante y han demostrado innovación y re-siliencia, utilizando una diversidad de estrategias para enfrentar las sequías, inundaciones, huracanes, etc. A pe-sar de estas evidencias, la conclusión prevalente es que la agricultura campesina es particularmente susceptible por su condición de marginalidad y que, aunque los cam-pesinos tengan experiencia en lidiar con la variabilidad climática, sus estrategias tradicionales para enfrentarla no serán suficientes para soportar y resistir la severidad de la variabilidad que se predice.&quot;,&quot;issue&quot;:&quot;1&quot;,&quot;volume&quot;:&quot;11&quot;},&quot;isTemporary&quot;:false,&quot;suppress-author&quot;:false,&quot;composite&quot;:false,&quot;author-only&quot;:false}]},{&quot;citationID&quot;:&quot;MENDELEY_CITATION_07e72b69-f158-482c-b76f-0e9c8a977ff7&quot;,&quot;citationItems&quot;:[{&quot;id&quot;:&quot;f51aea6e-8138-50bd-8cc1-c415d4f482b2&quot;,&quot;itemData&quot;:{&quot;DOI&quot;:&quot;10.29312/REMEXCA.V12I8.2704&quot;,&quot;ISSN&quot;:&quot;2007-0934&quot;,&quot;abstract&quot;:&quot;En una dimensión regional, se analizan dos factores claves de la actividad agrícola de Guasave, Sinaloa, México que influyen directamente en el desarrollo rural sustentable: la agricultura intensiva y la calidad de suelos. La presente investigación se diseñó como un estudio cualitativo de tipo descriptivo de este ramo productivo, para ello se aplicaron 164 entrevistas a productores y se analizaron diversos documentos con información del sector, tales como informes técnicos y boletines. Se encontró que la agricultura intensiva predomina en el área de estudio, con prácticas y patrones de producción de tipo tradicional, como son sistemas de riego de gravedad y uso desmedido de agroquímicos, lo cual presupone manejos agrarios que van en contra del contexto sustentable. Se requiere de investigación-acción para la implementación de estrategias de resiliencia con un enfoque sostenible, alineadas a la gobernanza ambiental adecuada de la actividad y a las necesidades del sector, toda vez que se siguen observando problemas como la pérdida de fertilidad de los suelos, un incremento en la salinidad y erosión en algunos predios agrícolas.&quot;,&quot;author&quot;:[{&quot;dropping-particle&quot;:&quot;&quot;,&quot;family&quot;:&quot;Cuadras-Berrelleza&quot;,&quot;given&quot;:&quot;Aldo Alan&quot;,&quot;non-dropping-particle&quot;:&quot;&quot;,&quot;parse-names&quot;:false,&quot;suffix&quot;:&quot;&quot;},{&quot;dropping-particle&quot;:&quot;&quot;,&quot;family&quot;:&quot;Peinado-Guevara&quot;,&quot;given&quot;:&quot;Víctor Manuel&quot;,&quot;non-dropping-particle&quot;:&quot;&quot;,&quot;parse-names&quot;:false,&quot;suffix&quot;:&quot;&quot;},{&quot;dropping-particle&quot;:&quot;&quot;,&quot;family&quot;:&quot;Peinado-Guevara&quot;,&quot;given&quot;:&quot;Héctor José&quot;,&quot;non-dropping-particle&quot;:&quot;&quot;,&quot;parse-names&quot;:false,&quot;suffix&quot;:&quot;&quot;},{&quot;dropping-particle&quot;:&quot;&quot;,&quot;family&quot;:&quot;López-López&quot;,&quot;given&quot;:&quot;José de Jesús&quot;,&quot;non-dropping-particle&quot;:&quot;&quot;,&quot;parse-names&quot;:false,&quot;suffix&quot;:&quot;&quot;},{&quot;dropping-particle&quot;:&quot;&quot;,&quot;family&quot;:&quot;Herrera-Barrientos&quot;,&quot;given&quot;:&quot;Jaime&quot;,&quot;non-dropping-particle&quot;:&quot;&quot;,&quot;parse-names&quot;:false,&quot;suffix&quot;:&quot;&quot;}],&quot;container-title&quot;:&quot;Revista mexicana de ciencias agrícolas&quot;,&quot;id&quot;:&quot;f51aea6e-8138-50bd-8cc1-c415d4f482b2&quot;,&quot;issue&quot;:&quot;8&quot;,&quot;issued&quot;:{&quot;date-parts&quot;:[[&quot;2021&quot;,&quot;12&quot;,&quot;7&quot;]]},&quot;page&quot;:&quot;1401-1414&quot;,&quot;publisher&quot;:&quot;Instituto Nacional de Investigaciones Forestales, Agrícolas y Pecuarias&quot;,&quot;title&quot;:&quot;Agricultura intensiva y calidad de suelos: retos para el desarrollo sustentable en Sinaloa&quot;,&quot;type&quot;:&quot;article-journal&quot;,&quot;volume&quot;:&quot;12&quot;},&quot;uris&quot;:[&quot;http://www.mendeley.com/documents/?uuid=d262b7c8-f026-37b4-b7e5-39a9d69c65a8&quot;],&quot;isTemporary&quot;:false,&quot;legacyDesktopId&quot;:&quot;d262b7c8-f026-37b4-b7e5-39a9d69c65a8&quot;},{&quot;id&quot;:&quot;0a869ece-236f-582d-8f87-1075c88b344d&quot;,&quot;itemData&quot;:{&quot;DOI&quot;:&quot;10.1016/J.ENVC.2021.100327&quot;,&quot;ISSN&quot;:&quot;2667-0100&quot;,&quot;abstract&quot;:&quot;World hunger, food insecurity and climate change are some of the most complex problems related to food systems, and there is an urgency to reform these systems with long-term sustainability in mind. The minimization of food loss (FL) is one of the main contemporary challenges required to achieve food security and a sustainable food system. Information about FL in the primary production of developing countries is scarce, yet it is precisely these countries that have less support in preventing FL. The research herein focuses on estimating FL and characterizing its main causes in the agricultural sector of the agri-food giant Mexican state of Jalisco. This work uses a self-reported approach to survey and interview producers of the state's core crops (including corn, sugarcane, agave, tomato, avocado and banana). The mean FL was found to be 14.0%, which is lower than previously reported for developing countries. FL, in the agricultural sector, was attributed mainly to pests and weather conditions, followed by market failures or inadequate marketing systems. FL variations were found to be dependent on the type of producer and crop. FL values were lower for large producers and for products with high international demand. Smaller producers generally reported higher FL values due to a lack of trained personnel and low application of technological practices or equipment. The transdisciplinary approach used here also led to solutions, which can be a key step to mitigating FL and to transitioning to a more sustainable approach. In developing countries, such as Mexico, it is important to create more and better connections between producers and institutions dedicated to avoiding FL.&quot;,&quot;author&quot;:[{&quot;dropping-particle&quot;:&quot;&quot;,&quot;family&quot;:&quot;López-Sánchez&quot;,&quot;given&quot;:&quot;Anaid&quot;,&quot;non-dropping-particle&quot;:&quot;&quot;,&quot;parse-names&quot;:false,&quot;suffix&quot;:&quot;&quot;},{&quot;dropping-particle&quot;:&quot;&quot;,&quot;family&quot;:&quot;Luque-Badillo&quot;,&quot;given&quot;:&quot;Ana Cecilia&quot;,&quot;non-dropping-particle&quot;:&quot;&quot;,&quot;parse-names&quot;:false,&quot;suffix&quot;:&quot;&quot;},{&quot;dropping-particle&quot;:&quot;&quot;,&quot;family&quot;:&quot;Orozco-Nunnelly&quot;,&quot;given&quot;:&quot;Danielle&quot;,&quot;non-dropping-particle&quot;:&quot;&quot;,&quot;parse-names&quot;:false,&quot;suffix&quot;:&quot;&quot;},{&quot;dropping-particle&quot;:&quot;&quot;,&quot;family&quot;:&quot;Alencastro-Larios&quot;,&quot;given&quot;:&quot;Nadya Selene&quot;,&quot;non-dropping-particle&quot;:&quot;&quot;,&quot;parse-names&quot;:false,&quot;suffix&quot;:&quot;&quot;},{&quot;dropping-particle&quot;:&quot;&quot;,&quot;family&quot;:&quot;Ruiz-Gómez&quot;,&quot;given&quot;:&quot;José Arturo&quot;,&quot;non-dropping-particle&quot;:&quot;&quot;,&quot;parse-names&quot;:false,&quot;suffix&quot;:&quot;&quot;},{&quot;dropping-particle&quot;:&quot;&quot;,&quot;family&quot;:&quot;García-Cayuela&quot;,&quot;given&quot;:&quot;Tomás&quot;,&quot;non-dropping-particle&quot;:&quot;&quot;,&quot;parse-names&quot;:false,&quot;suffix&quot;:&quot;&quot;},{&quot;dropping-particle&quot;:&quot;&quot;,&quot;family&quot;:&quot;Gradilla-Hernández&quot;,&quot;given&quot;:&quot;Misael Sebastián&quot;,&quot;non-dropping-particle&quot;:&quot;&quot;,&quot;parse-names&quot;:false,&quot;suffix&quot;:&quot;&quot;}],&quot;container-title&quot;:&quot;Environmental Challenges&quot;,&quot;id&quot;:&quot;0a869ece-236f-582d-8f87-1075c88b344d&quot;,&quot;issued&quot;:{&quot;date-parts&quot;:[[&quot;2021&quot;,&quot;12&quot;,&quot;1&quot;]]},&quot;page&quot;:&quot;100327&quot;,&quot;publisher&quot;:&quot;Elsevier&quot;,&quot;title&quot;:&quot;Food loss in the agricultural sector of a developing country: Transitioning to a more sustainable approach. The case of Jalisco, Mexico.&quot;,&quot;type&quot;:&quot;article-journal&quot;,&quot;volume&quot;:&quot;5&quot;},&quot;uris&quot;:[&quot;http://www.mendeley.com/documents/?uuid=39f0bdb2-0e8c-3441-8534-f12ad392758a&quot;],&quot;isTemporary&quot;:false,&quot;legacyDesktopId&quot;:&quot;39f0bdb2-0e8c-3441-8534-f12ad392758a&quot;}],&quot;properties&quot;:{&quot;noteIndex&quot;:0},&quot;isEdited&quot;:false,&quot;manualOverride&quot;:{&quot;citeprocText&quot;:&quot;(Cuadras-Berrelleza et al., 2021; López-Sánchez et al., 2021)&quot;,&quot;isManuallyOverridden&quot;:false,&quot;manualOverrideText&quot;:&quot;&quot;},&quot;citationTag&quot;:&quot;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&quot;},{&quot;citationID&quot;:&quot;MENDELEY_CITATION_6d42885f-b44c-43cc-a99a-41bb8e2dbdc9&quot;,&quot;citationItems&quot;:[{&quot;id&quot;:&quot;45169789-170b-55d0-bc16-f383d53dd2e1&quot;,&quot;itemData&quot;:{&quot;DOI&quot;:&quot;10.22267/rcia.183501.85&quot;,&quot;ISSN&quot;:&quot;2256-2273&quot;,&quot;author&quot;:[{&quot;dropping-particle&quot;:&quot;&quot;,&quot;family&quot;:&quot;Burbano Orjuela&quot;,&quot;given&quot;:&quot;Hernán&quot;,&quot;non-dropping-particle&quot;:&quot;&quot;,&quot;parse-names&quot;:false,&quot;suffix&quot;:&quot;&quot;}],&quot;container-title&quot;:&quot;REVISTA DE CIENCIAS AGRÍCOLAS&quot;,&quot;id&quot;:&quot;45169789-170b-55d0-bc16-f383d53dd2e1&quot;,&quot;issue&quot;:&quot;1&quot;,&quot;issued&quot;:{&quot;date-parts&quot;:[[&quot;2018&quot;]]},&quot;page&quot;:&quot;82-96&quot;,&quot;title&quot;:&quot;El carbono orgánico del suelo y su papel frente al cambio climático The soil organic carbon and its role on climate change&quot;,&quot;type&quot;:&quot;article-journal&quot;,&quot;volume&quot;:&quot;35&quot;},&quot;uris&quot;:[&quot;http://www.mendeley.com/documents/?uuid=db350e3a-0a0e-3bc7-8589-b78dc96e09fa&quot;],&quot;isTemporary&quot;:false,&quot;legacyDesktopId&quot;:&quot;db350e3a-0a0e-3bc7-8589-b78dc96e09fa&quot;}],&quot;properties&quot;:{&quot;noteIndex&quot;:0},&quot;isEdited&quot;:false,&quot;manualOverride&quot;:{&quot;citeprocText&quot;:&quot;(Burbano Orjuela, 2018b)&quot;,&quot;isManuallyOverridden&quot;:false,&quot;manualOverrideText&quot;:&quot;&quot;},&quot;citationTag&quot;:&quot;MENDELEY_CITATION_v3_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C774B1-A3A1-4849-B2A1-B0ECAFFBE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15482</Words>
  <Characters>88254</Characters>
  <Application>Microsoft Office Word</Application>
  <DocSecurity>0</DocSecurity>
  <Lines>735</Lines>
  <Paragraphs>207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UNIBAGUE</cp:lastModifiedBy>
  <cp:revision>3</cp:revision>
  <dcterms:created xsi:type="dcterms:W3CDTF">2024-09-16T17:40:00Z</dcterms:created>
  <dcterms:modified xsi:type="dcterms:W3CDTF">2024-09-16T17:46:00Z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cfe36d77-c583-341e-9525-a714c628d054</vt:lpwstr>
  </property>
  <property fmtid="{D5CDD505-2E9C-101B-9397-08002B2CF9AE}" pid="24" name="Mendeley Citation Style_1">
    <vt:lpwstr>http://www.zotero.org/styles/apa</vt:lpwstr>
  </property>
</Properties>
</file>