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49" w:rsidRDefault="00112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DADOS DA 1ª REUNIÃO DA COMISSÃO AMPLIADA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2355"/>
        <w:gridCol w:w="2706"/>
        <w:gridCol w:w="2377"/>
        <w:gridCol w:w="2242"/>
        <w:gridCol w:w="2463"/>
      </w:tblGrid>
      <w:tr w:rsidR="00D33F49">
        <w:tc>
          <w:tcPr>
            <w:tcW w:w="13994" w:type="dxa"/>
            <w:gridSpan w:val="6"/>
            <w:shd w:val="clear" w:color="auto" w:fill="9CC3E5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PLANO DE AÇÃO</w:t>
            </w:r>
          </w:p>
        </w:tc>
      </w:tr>
      <w:tr w:rsidR="00D33F49">
        <w:tc>
          <w:tcPr>
            <w:tcW w:w="1851" w:type="dxa"/>
            <w:shd w:val="clear" w:color="auto" w:fill="F4B083"/>
          </w:tcPr>
          <w:p w:rsidR="00D33F49" w:rsidRDefault="00D33F49">
            <w:pPr>
              <w:jc w:val="center"/>
              <w:rPr>
                <w:b/>
              </w:rPr>
            </w:pPr>
          </w:p>
        </w:tc>
        <w:tc>
          <w:tcPr>
            <w:tcW w:w="2355" w:type="dxa"/>
            <w:shd w:val="clear" w:color="auto" w:fill="F4B083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 xml:space="preserve">TEMAS TRANSVERSAIS </w:t>
            </w:r>
          </w:p>
        </w:tc>
        <w:tc>
          <w:tcPr>
            <w:tcW w:w="2706" w:type="dxa"/>
            <w:shd w:val="clear" w:color="auto" w:fill="F4B083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O QUE FAZER?</w:t>
            </w:r>
          </w:p>
        </w:tc>
        <w:tc>
          <w:tcPr>
            <w:tcW w:w="2377" w:type="dxa"/>
            <w:shd w:val="clear" w:color="auto" w:fill="F4B083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QUANDO?</w:t>
            </w:r>
          </w:p>
        </w:tc>
        <w:tc>
          <w:tcPr>
            <w:tcW w:w="2242" w:type="dxa"/>
            <w:shd w:val="clear" w:color="auto" w:fill="F4B083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QUEM FAZ?</w:t>
            </w:r>
          </w:p>
        </w:tc>
        <w:tc>
          <w:tcPr>
            <w:tcW w:w="2463" w:type="dxa"/>
            <w:shd w:val="clear" w:color="auto" w:fill="F4B083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PARCERIAS</w:t>
            </w:r>
          </w:p>
        </w:tc>
      </w:tr>
      <w:tr w:rsidR="00D33F49" w:rsidTr="00CF1675">
        <w:tc>
          <w:tcPr>
            <w:tcW w:w="1851" w:type="dxa"/>
            <w:vMerge w:val="restart"/>
            <w:shd w:val="clear" w:color="auto" w:fill="FFE599"/>
            <w:textDirection w:val="btLr"/>
          </w:tcPr>
          <w:p w:rsidR="00D33F49" w:rsidRDefault="00112F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FORTALECIMENTO DA ORGANIZAÇÃO SOCIAL</w:t>
            </w:r>
          </w:p>
          <w:p w:rsidR="00D33F49" w:rsidRDefault="00D33F49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55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Reativação dos conselhos e associações</w:t>
            </w:r>
          </w:p>
        </w:tc>
        <w:tc>
          <w:tcPr>
            <w:tcW w:w="2706" w:type="dxa"/>
            <w:shd w:val="clear" w:color="auto" w:fill="FFE599"/>
          </w:tcPr>
          <w:p w:rsidR="00D33F49" w:rsidRDefault="00112FBC">
            <w:pPr>
              <w:jc w:val="center"/>
            </w:pPr>
            <w:r>
              <w:t xml:space="preserve">Fazer </w:t>
            </w:r>
            <w:proofErr w:type="spellStart"/>
            <w:r>
              <w:t>checklist</w:t>
            </w:r>
            <w:proofErr w:type="spellEnd"/>
            <w:r>
              <w:t xml:space="preserve"> de conselhos existentes</w:t>
            </w:r>
          </w:p>
        </w:tc>
        <w:tc>
          <w:tcPr>
            <w:tcW w:w="2377" w:type="dxa"/>
            <w:shd w:val="clear" w:color="auto" w:fill="FFE599"/>
          </w:tcPr>
          <w:p w:rsidR="00D33F49" w:rsidRDefault="00112FBC">
            <w:pPr>
              <w:jc w:val="center"/>
            </w:pPr>
            <w:r>
              <w:t>10/01/22</w:t>
            </w:r>
          </w:p>
        </w:tc>
        <w:tc>
          <w:tcPr>
            <w:tcW w:w="2242" w:type="dxa"/>
            <w:shd w:val="clear" w:color="auto" w:fill="FFE599"/>
          </w:tcPr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Rede municipal</w:t>
            </w:r>
          </w:p>
        </w:tc>
      </w:tr>
      <w:tr w:rsidR="00D33F49">
        <w:tc>
          <w:tcPr>
            <w:tcW w:w="1851" w:type="dxa"/>
            <w:vMerge/>
            <w:shd w:val="clear" w:color="auto" w:fill="FFE599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Reorganização do CMDRS</w:t>
            </w:r>
          </w:p>
        </w:tc>
        <w:tc>
          <w:tcPr>
            <w:tcW w:w="2706" w:type="dxa"/>
            <w:shd w:val="clear" w:color="auto" w:fill="FFE599"/>
          </w:tcPr>
          <w:p w:rsidR="00D33F49" w:rsidRDefault="00112FBC">
            <w:pPr>
              <w:jc w:val="center"/>
            </w:pPr>
            <w:r>
              <w:t>Visitas mobilizadoras às comunidades/associações</w:t>
            </w:r>
          </w:p>
        </w:tc>
        <w:tc>
          <w:tcPr>
            <w:tcW w:w="2377" w:type="dxa"/>
            <w:shd w:val="clear" w:color="auto" w:fill="FFE599"/>
          </w:tcPr>
          <w:p w:rsidR="00D33F49" w:rsidRDefault="00112FBC">
            <w:pPr>
              <w:jc w:val="center"/>
            </w:pPr>
            <w:r>
              <w:t>Até Janeiro/2022</w:t>
            </w:r>
          </w:p>
        </w:tc>
        <w:tc>
          <w:tcPr>
            <w:tcW w:w="2242" w:type="dxa"/>
            <w:shd w:val="clear" w:color="auto" w:fill="FFE599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</w:t>
            </w:r>
          </w:p>
        </w:tc>
        <w:tc>
          <w:tcPr>
            <w:tcW w:w="2463" w:type="dxa"/>
            <w:shd w:val="clear" w:color="auto" w:fill="FFE599"/>
          </w:tcPr>
          <w:p w:rsidR="00D33F49" w:rsidRDefault="00112FBC">
            <w:pPr>
              <w:jc w:val="center"/>
            </w:pPr>
            <w:r>
              <w:t>Outras secretarias</w:t>
            </w:r>
          </w:p>
        </w:tc>
      </w:tr>
      <w:tr w:rsidR="00D33F49">
        <w:tc>
          <w:tcPr>
            <w:tcW w:w="1851" w:type="dxa"/>
            <w:vMerge/>
            <w:shd w:val="clear" w:color="auto" w:fill="FFE599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FFE599"/>
          </w:tcPr>
          <w:p w:rsidR="00D33F49" w:rsidRDefault="00112FBC">
            <w:pPr>
              <w:jc w:val="center"/>
            </w:pPr>
            <w:r>
              <w:t>Implementação da Lei 10.639</w:t>
            </w:r>
          </w:p>
        </w:tc>
        <w:tc>
          <w:tcPr>
            <w:tcW w:w="2706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Roda de conversa para ver andamento da implementação da lei e projeto municipal</w:t>
            </w:r>
          </w:p>
        </w:tc>
        <w:tc>
          <w:tcPr>
            <w:tcW w:w="2377" w:type="dxa"/>
            <w:shd w:val="clear" w:color="auto" w:fill="FFE599"/>
          </w:tcPr>
          <w:p w:rsidR="00D33F49" w:rsidRDefault="00112FBC">
            <w:pPr>
              <w:jc w:val="center"/>
            </w:pPr>
            <w:r>
              <w:t>10/01/2022</w:t>
            </w:r>
          </w:p>
        </w:tc>
        <w:tc>
          <w:tcPr>
            <w:tcW w:w="2242" w:type="dxa"/>
            <w:shd w:val="clear" w:color="auto" w:fill="FFE599"/>
          </w:tcPr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Rede municipal; conselhos escolares</w:t>
            </w:r>
          </w:p>
        </w:tc>
      </w:tr>
      <w:tr w:rsidR="00D33F49">
        <w:tc>
          <w:tcPr>
            <w:tcW w:w="1851" w:type="dxa"/>
            <w:vMerge/>
            <w:shd w:val="clear" w:color="auto" w:fill="FFE599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FFE599"/>
          </w:tcPr>
          <w:p w:rsidR="00D33F49" w:rsidRDefault="00112FBC">
            <w:pPr>
              <w:jc w:val="center"/>
              <w:rPr>
                <w:b/>
              </w:rPr>
            </w:pPr>
            <w:r>
              <w:t xml:space="preserve">Formação do processo de </w:t>
            </w:r>
            <w:proofErr w:type="spellStart"/>
            <w:r>
              <w:t>aquilombamento</w:t>
            </w:r>
            <w:proofErr w:type="spellEnd"/>
          </w:p>
        </w:tc>
        <w:tc>
          <w:tcPr>
            <w:tcW w:w="2706" w:type="dxa"/>
            <w:shd w:val="clear" w:color="auto" w:fill="FFE599"/>
          </w:tcPr>
          <w:p w:rsidR="00D33F49" w:rsidRDefault="00112FBC">
            <w:pPr>
              <w:jc w:val="center"/>
            </w:pPr>
            <w:r>
              <w:t>Projetos de Intervenção</w:t>
            </w:r>
          </w:p>
        </w:tc>
        <w:tc>
          <w:tcPr>
            <w:tcW w:w="2377" w:type="dxa"/>
            <w:shd w:val="clear" w:color="auto" w:fill="FFE599"/>
          </w:tcPr>
          <w:p w:rsidR="00D33F49" w:rsidRDefault="00112FBC">
            <w:pPr>
              <w:jc w:val="center"/>
            </w:pPr>
            <w:r>
              <w:t>10/02/2022</w:t>
            </w:r>
          </w:p>
        </w:tc>
        <w:tc>
          <w:tcPr>
            <w:tcW w:w="2242" w:type="dxa"/>
            <w:shd w:val="clear" w:color="auto" w:fill="FFE599"/>
          </w:tcPr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FFE599"/>
          </w:tcPr>
          <w:p w:rsidR="00D33F49" w:rsidRDefault="00112FBC">
            <w:pPr>
              <w:jc w:val="center"/>
            </w:pPr>
            <w:proofErr w:type="spellStart"/>
            <w:r>
              <w:t>ICMBio</w:t>
            </w:r>
            <w:proofErr w:type="spellEnd"/>
            <w:r>
              <w:t>; UFS; CONAQ</w:t>
            </w:r>
          </w:p>
        </w:tc>
      </w:tr>
      <w:tr w:rsidR="00D33F49">
        <w:tc>
          <w:tcPr>
            <w:tcW w:w="1851" w:type="dxa"/>
            <w:vMerge/>
            <w:shd w:val="clear" w:color="auto" w:fill="FFE599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FFE599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6" w:type="dxa"/>
            <w:shd w:val="clear" w:color="auto" w:fill="FFE599"/>
          </w:tcPr>
          <w:p w:rsidR="00D33F49" w:rsidRDefault="00112FBC">
            <w:pPr>
              <w:jc w:val="center"/>
            </w:pPr>
            <w:r>
              <w:t>Relatórios/Atas de reuniões</w:t>
            </w:r>
          </w:p>
        </w:tc>
        <w:tc>
          <w:tcPr>
            <w:tcW w:w="2377" w:type="dxa"/>
            <w:shd w:val="clear" w:color="auto" w:fill="FFE599"/>
          </w:tcPr>
          <w:p w:rsidR="00D33F49" w:rsidRDefault="00112FBC">
            <w:pPr>
              <w:jc w:val="center"/>
            </w:pPr>
            <w:r>
              <w:t>Sempre que ocorrer</w:t>
            </w:r>
          </w:p>
        </w:tc>
        <w:tc>
          <w:tcPr>
            <w:tcW w:w="2242" w:type="dxa"/>
            <w:shd w:val="clear" w:color="auto" w:fill="FFE599"/>
          </w:tcPr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FFE599"/>
          </w:tcPr>
          <w:p w:rsidR="00D33F49" w:rsidRDefault="00112F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3F49" w:rsidTr="00CF1675">
        <w:tc>
          <w:tcPr>
            <w:tcW w:w="1851" w:type="dxa"/>
            <w:vMerge w:val="restart"/>
            <w:shd w:val="clear" w:color="auto" w:fill="A8D08D"/>
            <w:textDirection w:val="btLr"/>
          </w:tcPr>
          <w:p w:rsidR="00D33F49" w:rsidRDefault="00112FBC" w:rsidP="00CF1675">
            <w:pPr>
              <w:ind w:left="113" w:right="113"/>
              <w:rPr>
                <w:b/>
              </w:rPr>
            </w:pPr>
            <w:r w:rsidRPr="00CF1675">
              <w:rPr>
                <w:b/>
                <w:sz w:val="20"/>
                <w:szCs w:val="20"/>
              </w:rPr>
              <w:t>COMERCIALIZAÇÃO DOS PRODUTOS DA AGRICULTURA FAMILIAR, CAMPONESA E QUILOMBOLA, PESCA E</w:t>
            </w:r>
            <w:r>
              <w:rPr>
                <w:b/>
              </w:rPr>
              <w:t xml:space="preserve"> </w:t>
            </w:r>
            <w:r w:rsidRPr="00CF1675">
              <w:rPr>
                <w:b/>
                <w:sz w:val="20"/>
                <w:szCs w:val="20"/>
              </w:rPr>
              <w:t>AQUICULTURA</w:t>
            </w:r>
          </w:p>
        </w:tc>
        <w:tc>
          <w:tcPr>
            <w:tcW w:w="2355" w:type="dxa"/>
            <w:vMerge w:val="restart"/>
            <w:shd w:val="clear" w:color="auto" w:fill="A8D08D"/>
          </w:tcPr>
          <w:p w:rsidR="00D33F49" w:rsidRDefault="00112FBC">
            <w:pPr>
              <w:jc w:val="center"/>
            </w:pPr>
            <w:r>
              <w:t>Aumento do percentual de compras e inclusão do pescado no PNAE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Reunião com agricultoras/es e pescadoras/es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Janeiro/2022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Pesca;</w:t>
            </w:r>
          </w:p>
          <w:p w:rsidR="00D33F49" w:rsidRDefault="00112FBC">
            <w:pPr>
              <w:jc w:val="center"/>
            </w:pPr>
            <w:r>
              <w:t xml:space="preserve">Comissão 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Secretaria de Educação; outras secretarias municipais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Reunião com Secretaria de Educação e CAE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Janeiro/2022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Pesca;</w:t>
            </w:r>
          </w:p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Vereadores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A8D08D"/>
          </w:tcPr>
          <w:p w:rsidR="00D33F49" w:rsidRDefault="00112FBC">
            <w:pPr>
              <w:jc w:val="center"/>
            </w:pPr>
            <w:r>
              <w:t>PAA municipal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Reunião com Secretaria Ação Social e Conselho de Assistência Social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Março/2022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Pesca;</w:t>
            </w:r>
          </w:p>
          <w:p w:rsidR="00D33F49" w:rsidRDefault="00112FBC">
            <w:pPr>
              <w:jc w:val="center"/>
            </w:pPr>
            <w:r>
              <w:t>Comissão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</w:tr>
      <w:tr w:rsidR="00D33F49">
        <w:trPr>
          <w:trHeight w:val="220"/>
        </w:trPr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vMerge w:val="restart"/>
            <w:shd w:val="clear" w:color="auto" w:fill="A8D08D"/>
          </w:tcPr>
          <w:p w:rsidR="00D33F49" w:rsidRDefault="00112FBC">
            <w:pPr>
              <w:jc w:val="center"/>
            </w:pPr>
            <w:r>
              <w:t>Organização das feiras tradicionais quilombolas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Incrementar e agrupar as duas feiras (quilombola e agricultura familiar)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Janeiro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Pesca;</w:t>
            </w:r>
          </w:p>
          <w:p w:rsidR="00D33F49" w:rsidRDefault="00112FBC">
            <w:pPr>
              <w:jc w:val="center"/>
            </w:pPr>
            <w:r>
              <w:t>Associações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Poder Público</w:t>
            </w:r>
          </w:p>
        </w:tc>
      </w:tr>
      <w:tr w:rsidR="00D33F49">
        <w:trPr>
          <w:trHeight w:val="220"/>
        </w:trPr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vMerge/>
            <w:shd w:val="clear" w:color="auto" w:fill="A8D08D"/>
          </w:tcPr>
          <w:p w:rsidR="00D33F49" w:rsidRDefault="00D33F49">
            <w:pPr>
              <w:jc w:val="center"/>
            </w:pP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Audiência na Câmara de Vereadores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dezembro/2021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proofErr w:type="spellStart"/>
            <w:r>
              <w:t>Seagro</w:t>
            </w:r>
            <w:proofErr w:type="spellEnd"/>
            <w:r>
              <w:t xml:space="preserve"> e Pesca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Poder público; Comunicadoras/es locais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A8D08D"/>
          </w:tcPr>
          <w:p w:rsidR="00D33F49" w:rsidRDefault="00112FBC">
            <w:pPr>
              <w:jc w:val="center"/>
            </w:pPr>
            <w:r>
              <w:t>Comunicação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Lançamento virtual da iniciativa AnM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Até dezembro/2021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r>
              <w:t xml:space="preserve">Comissão 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Poder público; Comunicadoras/es locais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A8D08D"/>
          </w:tcPr>
          <w:p w:rsidR="00D33F49" w:rsidRDefault="00112FBC">
            <w:pPr>
              <w:jc w:val="center"/>
            </w:pPr>
            <w:r>
              <w:t>Assistência técnica para agricultoras/es e quilombolas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A8D08D"/>
          </w:tcPr>
          <w:p w:rsidR="00D33F49" w:rsidRDefault="00112FBC">
            <w:pPr>
              <w:jc w:val="center"/>
            </w:pPr>
            <w:r>
              <w:t>Programa de compras públicas da agricultura familiar</w:t>
            </w:r>
          </w:p>
        </w:tc>
        <w:tc>
          <w:tcPr>
            <w:tcW w:w="2706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377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242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  <w:tc>
          <w:tcPr>
            <w:tcW w:w="2463" w:type="dxa"/>
            <w:shd w:val="clear" w:color="auto" w:fill="A8D08D"/>
          </w:tcPr>
          <w:p w:rsidR="00D33F49" w:rsidRDefault="00112FBC">
            <w:pPr>
              <w:jc w:val="center"/>
            </w:pPr>
            <w:r>
              <w:t>-</w:t>
            </w:r>
          </w:p>
        </w:tc>
      </w:tr>
      <w:tr w:rsidR="00D33F49">
        <w:tc>
          <w:tcPr>
            <w:tcW w:w="1851" w:type="dxa"/>
            <w:vMerge/>
            <w:shd w:val="clear" w:color="auto" w:fill="A8D08D"/>
          </w:tcPr>
          <w:p w:rsidR="00D33F49" w:rsidRDefault="00D3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5" w:type="dxa"/>
            <w:shd w:val="clear" w:color="auto" w:fill="A8D08D"/>
          </w:tcPr>
          <w:p w:rsidR="00D33F49" w:rsidRDefault="00D33F49">
            <w:pPr>
              <w:jc w:val="center"/>
              <w:rPr>
                <w:b/>
              </w:rPr>
            </w:pPr>
          </w:p>
        </w:tc>
        <w:tc>
          <w:tcPr>
            <w:tcW w:w="2706" w:type="dxa"/>
            <w:shd w:val="clear" w:color="auto" w:fill="A8D08D"/>
          </w:tcPr>
          <w:p w:rsidR="00D33F49" w:rsidRDefault="00D33F49">
            <w:pPr>
              <w:jc w:val="center"/>
            </w:pPr>
          </w:p>
        </w:tc>
        <w:tc>
          <w:tcPr>
            <w:tcW w:w="2377" w:type="dxa"/>
            <w:shd w:val="clear" w:color="auto" w:fill="A8D08D"/>
          </w:tcPr>
          <w:p w:rsidR="00D33F49" w:rsidRDefault="00D33F49">
            <w:pPr>
              <w:jc w:val="center"/>
            </w:pPr>
          </w:p>
        </w:tc>
        <w:tc>
          <w:tcPr>
            <w:tcW w:w="2242" w:type="dxa"/>
            <w:shd w:val="clear" w:color="auto" w:fill="A8D08D"/>
          </w:tcPr>
          <w:p w:rsidR="00D33F49" w:rsidRDefault="00D33F49">
            <w:pPr>
              <w:jc w:val="center"/>
            </w:pPr>
          </w:p>
        </w:tc>
        <w:tc>
          <w:tcPr>
            <w:tcW w:w="2463" w:type="dxa"/>
            <w:shd w:val="clear" w:color="auto" w:fill="A8D08D"/>
          </w:tcPr>
          <w:p w:rsidR="00D33F49" w:rsidRDefault="00D33F49">
            <w:pPr>
              <w:jc w:val="center"/>
            </w:pPr>
          </w:p>
        </w:tc>
      </w:tr>
    </w:tbl>
    <w:p w:rsidR="00D33F49" w:rsidRDefault="00D33F49">
      <w:pPr>
        <w:jc w:val="center"/>
        <w:rPr>
          <w:b/>
        </w:rPr>
      </w:pPr>
    </w:p>
    <w:p w:rsidR="00D33F49" w:rsidRDefault="00D33F49"/>
    <w:sectPr w:rsidR="00D33F49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3D" w:rsidRDefault="0018263D">
      <w:pPr>
        <w:spacing w:after="0" w:line="240" w:lineRule="auto"/>
      </w:pPr>
      <w:r>
        <w:separator/>
      </w:r>
    </w:p>
  </w:endnote>
  <w:endnote w:type="continuationSeparator" w:id="0">
    <w:p w:rsidR="0018263D" w:rsidRDefault="0018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3D" w:rsidRDefault="0018263D">
      <w:pPr>
        <w:spacing w:after="0" w:line="240" w:lineRule="auto"/>
      </w:pPr>
      <w:r>
        <w:separator/>
      </w:r>
    </w:p>
  </w:footnote>
  <w:footnote w:type="continuationSeparator" w:id="0">
    <w:p w:rsidR="0018263D" w:rsidRDefault="0018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49" w:rsidRDefault="00112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-480693</wp:posOffset>
          </wp:positionH>
          <wp:positionV relativeFrom="page">
            <wp:posOffset>266700</wp:posOffset>
          </wp:positionV>
          <wp:extent cx="9877425" cy="1656715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7425" cy="165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9"/>
    <w:rsid w:val="00112FBC"/>
    <w:rsid w:val="0018263D"/>
    <w:rsid w:val="0037236B"/>
    <w:rsid w:val="00CF1675"/>
    <w:rsid w:val="00D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192E5-6267-41B1-85BD-AE6B092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8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FEE"/>
  </w:style>
  <w:style w:type="paragraph" w:styleId="Rodap">
    <w:name w:val="footer"/>
    <w:basedOn w:val="Normal"/>
    <w:link w:val="RodapChar"/>
    <w:uiPriority w:val="99"/>
    <w:unhideWhenUsed/>
    <w:rsid w:val="0058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FEE"/>
  </w:style>
  <w:style w:type="table" w:styleId="Tabelacomgrade">
    <w:name w:val="Table Grid"/>
    <w:basedOn w:val="Tabelanormal"/>
    <w:uiPriority w:val="39"/>
    <w:rsid w:val="0058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YySVRQYr9TFzP0nqq/2vABwag==">AMUW2mUvyOBu//C7ltVwRmakpz3KV033aaG5JPi4WQiWq2lHYLbzS44HVmLam8Te3OU7hcxQlKYiAeFucn/zLyFsrjOZ4HeyKl2A3G4cs9vgjkHV5Nkbb80=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USUARIOS</dc:creator>
  <cp:lastModifiedBy>USUARIOS</cp:lastModifiedBy>
  <cp:revision>3</cp:revision>
  <dcterms:created xsi:type="dcterms:W3CDTF">2021-12-03T18:21:00Z</dcterms:created>
  <dcterms:modified xsi:type="dcterms:W3CDTF">2021-12-23T14:09:00Z</dcterms:modified>
</cp:coreProperties>
</file>