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DEFA6" w14:textId="77777777" w:rsidR="001412FC" w:rsidRDefault="001412FC" w:rsidP="00D87570">
      <w:pPr>
        <w:jc w:val="center"/>
        <w:rPr>
          <w:b/>
          <w:highlight w:val="yellow"/>
        </w:rPr>
      </w:pPr>
    </w:p>
    <w:p w14:paraId="1535B2EF" w14:textId="58A861E8" w:rsidR="00A7655B" w:rsidRPr="00C94F2A" w:rsidRDefault="00D87570" w:rsidP="00D87570">
      <w:pPr>
        <w:jc w:val="center"/>
        <w:rPr>
          <w:b/>
        </w:rPr>
      </w:pPr>
      <w:r w:rsidRPr="00C94F2A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653F313" wp14:editId="5DA0D327">
            <wp:simplePos x="0" y="0"/>
            <wp:positionH relativeFrom="column">
              <wp:posOffset>-507365</wp:posOffset>
            </wp:positionH>
            <wp:positionV relativeFrom="paragraph">
              <wp:posOffset>-810895</wp:posOffset>
            </wp:positionV>
            <wp:extent cx="7242810" cy="1398270"/>
            <wp:effectExtent l="0" t="0" r="0" b="0"/>
            <wp:wrapThrough wrapText="bothSides">
              <wp:wrapPolygon edited="0">
                <wp:start x="0" y="0"/>
                <wp:lineTo x="0" y="21188"/>
                <wp:lineTo x="21532" y="21188"/>
                <wp:lineTo x="21532" y="0"/>
                <wp:lineTo x="0" y="0"/>
              </wp:wrapPolygon>
            </wp:wrapThrough>
            <wp:docPr id="6" name="Picture 3" descr="\\NELSON\Serviços Atuais\UENP\2015\JOIC\powerpoint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\\NELSON\Serviços Atuais\UENP\2015\JOIC\powerpoint O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431"/>
                    <a:stretch/>
                  </pic:blipFill>
                  <pic:spPr bwMode="auto">
                    <a:xfrm>
                      <a:off x="0" y="0"/>
                      <a:ext cx="724281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F2A">
        <w:rPr>
          <w:b/>
        </w:rPr>
        <w:t>NOVA</w:t>
      </w:r>
      <w:r w:rsidR="00C94F2A" w:rsidRPr="00C94F2A">
        <w:rPr>
          <w:b/>
        </w:rPr>
        <w:t xml:space="preserve"> ABORDAGE</w:t>
      </w:r>
      <w:r w:rsidR="00C94F2A">
        <w:rPr>
          <w:b/>
        </w:rPr>
        <w:t>M ACARICIDA A PARTIR DA UTILIZAÇÃO</w:t>
      </w:r>
      <w:r w:rsidR="00C94F2A" w:rsidRPr="00C94F2A">
        <w:rPr>
          <w:b/>
        </w:rPr>
        <w:t xml:space="preserve"> DO EXTRATO PIROLENHOSO NA PECUÁRIA BRASILEIRA</w:t>
      </w:r>
    </w:p>
    <w:p w14:paraId="75C3CCF2" w14:textId="77777777" w:rsidR="00D87570" w:rsidRPr="007E70FE" w:rsidRDefault="00D87570" w:rsidP="00D87570">
      <w:pPr>
        <w:jc w:val="center"/>
      </w:pPr>
    </w:p>
    <w:p w14:paraId="739A4E48" w14:textId="3B918FEB" w:rsidR="00D87570" w:rsidRPr="00CA7067" w:rsidRDefault="00D87570" w:rsidP="00CF6622">
      <w:pPr>
        <w:jc w:val="center"/>
      </w:pPr>
      <w:r>
        <w:t>Carolina de Oliveira Rorato</w:t>
      </w:r>
      <w:r w:rsidR="00CA7067">
        <w:rPr>
          <w:vertAlign w:val="superscript"/>
        </w:rPr>
        <w:t>1</w:t>
      </w:r>
      <w:r w:rsidR="00CF6622">
        <w:t xml:space="preserve">, </w:t>
      </w:r>
      <w:r>
        <w:t>Carolina</w:t>
      </w:r>
      <w:r w:rsidR="000C4810">
        <w:t xml:space="preserve"> </w:t>
      </w:r>
      <w:proofErr w:type="spellStart"/>
      <w:r w:rsidR="000C4810">
        <w:t>Guarini</w:t>
      </w:r>
      <w:proofErr w:type="spellEnd"/>
      <w:r>
        <w:t xml:space="preserve"> Marcelino</w:t>
      </w:r>
      <w:r w:rsidR="00CA7067">
        <w:rPr>
          <w:vertAlign w:val="superscript"/>
        </w:rPr>
        <w:t>1</w:t>
      </w:r>
      <w:r>
        <w:t xml:space="preserve">, Rafael </w:t>
      </w:r>
      <w:proofErr w:type="spellStart"/>
      <w:r>
        <w:t>Rostirolla</w:t>
      </w:r>
      <w:proofErr w:type="spellEnd"/>
      <w:r>
        <w:t xml:space="preserve"> de Biage</w:t>
      </w:r>
      <w:r w:rsidR="00CA7067">
        <w:rPr>
          <w:vertAlign w:val="superscript"/>
        </w:rPr>
        <w:t xml:space="preserve">1 </w:t>
      </w:r>
    </w:p>
    <w:p w14:paraId="01BA0F6E" w14:textId="4F963B77" w:rsidR="00D87570" w:rsidRDefault="006815A2" w:rsidP="00D87570">
      <w:pPr>
        <w:jc w:val="center"/>
      </w:pPr>
      <w:proofErr w:type="spellStart"/>
      <w:r w:rsidRPr="00C94F2A">
        <w:t>Regildo</w:t>
      </w:r>
      <w:proofErr w:type="spellEnd"/>
      <w:r w:rsidRPr="00C94F2A">
        <w:t xml:space="preserve"> Márcio Gonçalves da Silva</w:t>
      </w:r>
      <w:r w:rsidR="00CA7067" w:rsidRPr="00C94F2A">
        <w:rPr>
          <w:vertAlign w:val="superscript"/>
        </w:rPr>
        <w:t>2</w:t>
      </w:r>
      <w:r w:rsidR="00CA7067" w:rsidRPr="00C94F2A">
        <w:t xml:space="preserve"> </w:t>
      </w:r>
      <w:r w:rsidRPr="00C94F2A">
        <w:t xml:space="preserve">, </w:t>
      </w:r>
      <w:r w:rsidR="00D87570">
        <w:t xml:space="preserve">Erika </w:t>
      </w:r>
      <w:proofErr w:type="spellStart"/>
      <w:r w:rsidR="00D87570">
        <w:t>Consendey</w:t>
      </w:r>
      <w:proofErr w:type="spellEnd"/>
      <w:r w:rsidR="00D87570">
        <w:t xml:space="preserve"> Toledo de Mello Peixoto</w:t>
      </w:r>
      <w:r w:rsidR="00CA7067">
        <w:rPr>
          <w:vertAlign w:val="superscript"/>
        </w:rPr>
        <w:t>1</w:t>
      </w:r>
    </w:p>
    <w:p w14:paraId="59EE9865" w14:textId="77777777" w:rsidR="00D87570" w:rsidRPr="007E70FE" w:rsidRDefault="00D87570" w:rsidP="00D87570">
      <w:pPr>
        <w:jc w:val="center"/>
      </w:pPr>
      <w:r>
        <w:t>karol_rorato@hotmail.com</w:t>
      </w:r>
    </w:p>
    <w:p w14:paraId="315945B1" w14:textId="77777777" w:rsidR="00D87570" w:rsidRPr="007E70FE" w:rsidRDefault="00D87570" w:rsidP="00D87570">
      <w:pPr>
        <w:jc w:val="center"/>
      </w:pPr>
    </w:p>
    <w:p w14:paraId="48D37077" w14:textId="683D7BC5" w:rsidR="00D87570" w:rsidRDefault="00CA7067" w:rsidP="00D87570">
      <w:pPr>
        <w:jc w:val="center"/>
      </w:pPr>
      <w:r>
        <w:rPr>
          <w:vertAlign w:val="superscript"/>
        </w:rPr>
        <w:t>1</w:t>
      </w:r>
      <w:r w:rsidR="00D87570" w:rsidRPr="007E70FE">
        <w:t>Universidade Est</w:t>
      </w:r>
      <w:r w:rsidR="00D87570">
        <w:t xml:space="preserve">adual do Norte do Paraná/Campus Luiz </w:t>
      </w:r>
      <w:proofErr w:type="spellStart"/>
      <w:r w:rsidR="00D87570">
        <w:t>Meneghel</w:t>
      </w:r>
      <w:proofErr w:type="spellEnd"/>
    </w:p>
    <w:p w14:paraId="2C86E657" w14:textId="7BA82354" w:rsidR="00403F77" w:rsidRPr="007E70FE" w:rsidRDefault="00CA7067" w:rsidP="00403F77">
      <w:pPr>
        <w:jc w:val="center"/>
      </w:pPr>
      <w:r>
        <w:rPr>
          <w:vertAlign w:val="superscript"/>
        </w:rPr>
        <w:t>2</w:t>
      </w:r>
      <w:r w:rsidR="00403F77" w:rsidRPr="00C94F2A">
        <w:t>Universidade Estadual Júlio de Mesquita Filho/Faculdade de Letras e Ciências de Assis/SP</w:t>
      </w:r>
    </w:p>
    <w:p w14:paraId="0230FDD8" w14:textId="77777777" w:rsidR="00403F77" w:rsidRPr="007E70FE" w:rsidRDefault="00403F77" w:rsidP="00D87570">
      <w:pPr>
        <w:jc w:val="center"/>
      </w:pPr>
    </w:p>
    <w:p w14:paraId="728E64E9" w14:textId="77777777" w:rsidR="00D87570" w:rsidRPr="007E70FE" w:rsidRDefault="00D87570" w:rsidP="00D87570"/>
    <w:p w14:paraId="5BC23D1F" w14:textId="77777777" w:rsidR="00D87570" w:rsidRPr="00B82BE6" w:rsidRDefault="00B82BE6" w:rsidP="00B82BE6">
      <w:pPr>
        <w:jc w:val="both"/>
        <w:rPr>
          <w:b/>
        </w:rPr>
      </w:pPr>
      <w:r w:rsidRPr="00B82BE6">
        <w:rPr>
          <w:rFonts w:eastAsiaTheme="minorHAnsi"/>
          <w:b/>
          <w:bCs/>
          <w:lang w:eastAsia="en-US"/>
        </w:rPr>
        <w:t xml:space="preserve">Medicina Veterinária Preventiva, </w:t>
      </w:r>
      <w:r w:rsidRPr="00B82BE6">
        <w:rPr>
          <w:rFonts w:eastAsiaTheme="minorHAnsi"/>
          <w:b/>
          <w:lang w:eastAsia="en-US"/>
        </w:rPr>
        <w:t>Doenças Parasitárias de Animais</w:t>
      </w:r>
    </w:p>
    <w:p w14:paraId="45AFBF7A" w14:textId="77777777" w:rsidR="00D87570" w:rsidRPr="007E70FE" w:rsidRDefault="00D87570" w:rsidP="00D87570">
      <w:pPr>
        <w:jc w:val="both"/>
      </w:pPr>
    </w:p>
    <w:p w14:paraId="025196C6" w14:textId="77777777" w:rsidR="00D87570" w:rsidRPr="007E70FE" w:rsidRDefault="00E8693C" w:rsidP="00D87570">
      <w:pPr>
        <w:jc w:val="both"/>
      </w:pPr>
      <w:r>
        <w:rPr>
          <w:b/>
        </w:rPr>
        <w:t>Palavras-chave:</w:t>
      </w:r>
      <w:r w:rsidR="00D87570" w:rsidRPr="007E70FE">
        <w:t xml:space="preserve"> </w:t>
      </w:r>
      <w:r w:rsidR="00592677">
        <w:t>extrato pirolenhoso, carrapato bovino, controle.</w:t>
      </w:r>
    </w:p>
    <w:p w14:paraId="0F11C92E" w14:textId="77777777" w:rsidR="00D87570" w:rsidRPr="007E70FE" w:rsidRDefault="00D87570" w:rsidP="00D87570"/>
    <w:p w14:paraId="385F9360" w14:textId="77777777" w:rsidR="00D87570" w:rsidRPr="007E70FE" w:rsidRDefault="00D87570" w:rsidP="00D87570">
      <w:r w:rsidRPr="007E70FE">
        <w:rPr>
          <w:b/>
        </w:rPr>
        <w:t xml:space="preserve">Resumo </w:t>
      </w:r>
    </w:p>
    <w:p w14:paraId="6175F777" w14:textId="77777777" w:rsidR="0071054E" w:rsidRDefault="0071054E" w:rsidP="00D87570">
      <w:pPr>
        <w:jc w:val="both"/>
      </w:pPr>
    </w:p>
    <w:p w14:paraId="6501312B" w14:textId="424B7919" w:rsidR="00D8444C" w:rsidRDefault="0071054E" w:rsidP="00D87570">
      <w:pPr>
        <w:jc w:val="both"/>
      </w:pPr>
      <w:bookmarkStart w:id="0" w:name="_GoBack"/>
      <w:r>
        <w:t xml:space="preserve">O carrapato </w:t>
      </w:r>
      <w:proofErr w:type="spellStart"/>
      <w:r w:rsidRPr="0054384A">
        <w:rPr>
          <w:i/>
        </w:rPr>
        <w:t>Rhipicephalus</w:t>
      </w:r>
      <w:proofErr w:type="spellEnd"/>
      <w:r w:rsidRPr="0054384A">
        <w:rPr>
          <w:i/>
        </w:rPr>
        <w:t xml:space="preserve"> (</w:t>
      </w:r>
      <w:proofErr w:type="spellStart"/>
      <w:r w:rsidRPr="0054384A">
        <w:rPr>
          <w:i/>
        </w:rPr>
        <w:t>Boophilus</w:t>
      </w:r>
      <w:proofErr w:type="spellEnd"/>
      <w:r w:rsidRPr="0054384A">
        <w:rPr>
          <w:i/>
        </w:rPr>
        <w:t xml:space="preserve">) </w:t>
      </w:r>
      <w:proofErr w:type="spellStart"/>
      <w:r w:rsidRPr="0054384A">
        <w:rPr>
          <w:i/>
        </w:rPr>
        <w:t>microplus</w:t>
      </w:r>
      <w:proofErr w:type="spellEnd"/>
      <w:r>
        <w:t xml:space="preserve"> é um ectoparasita de bovinos, presente em áreas tropicais e subtropicais na América, África, Ásia e Austrália, sendo o método atual para controle o uso de acaricidas. Porém, este método é caro devido aos custos das drogas e aos da mão de obra exigida para a sua aplicação. Também</w:t>
      </w:r>
      <w:r w:rsidR="0054384A">
        <w:t>, há relatos de carrapatos resistentes a diversos acaricidas (LEAL, et al., 2003). Dessa forma, o</w:t>
      </w:r>
      <w:r w:rsidR="0081465F">
        <w:t xml:space="preserve"> objetivo deste estudo foi verificar </w:t>
      </w:r>
      <w:r w:rsidR="00CA7067">
        <w:t>ação</w:t>
      </w:r>
      <w:r w:rsidR="0081465F">
        <w:t xml:space="preserve"> </w:t>
      </w:r>
      <w:r w:rsidR="00CA7067">
        <w:t>acaricida</w:t>
      </w:r>
      <w:r w:rsidR="00CA7067" w:rsidRPr="00CA7067">
        <w:rPr>
          <w:i/>
        </w:rPr>
        <w:t>, in vitro</w:t>
      </w:r>
      <w:r w:rsidR="00CA7067">
        <w:t xml:space="preserve">, </w:t>
      </w:r>
      <w:r w:rsidR="001C1EC6">
        <w:t>do</w:t>
      </w:r>
      <w:r w:rsidR="0081465F">
        <w:t xml:space="preserve"> </w:t>
      </w:r>
      <w:r w:rsidR="00957896" w:rsidRPr="00116E95">
        <w:t xml:space="preserve">extrato pirolenhoso </w:t>
      </w:r>
      <w:r w:rsidR="0054384A">
        <w:t>sobre</w:t>
      </w:r>
      <w:r w:rsidR="0054384A">
        <w:rPr>
          <w:i/>
        </w:rPr>
        <w:t xml:space="preserve"> </w:t>
      </w:r>
      <w:proofErr w:type="spellStart"/>
      <w:r w:rsidR="0054384A">
        <w:rPr>
          <w:i/>
        </w:rPr>
        <w:t>Boophilus</w:t>
      </w:r>
      <w:proofErr w:type="spellEnd"/>
      <w:r w:rsidR="0081465F" w:rsidRPr="0081465F">
        <w:rPr>
          <w:i/>
        </w:rPr>
        <w:t xml:space="preserve"> </w:t>
      </w:r>
      <w:proofErr w:type="spellStart"/>
      <w:r w:rsidR="0081465F" w:rsidRPr="0081465F">
        <w:rPr>
          <w:i/>
        </w:rPr>
        <w:t>microplus</w:t>
      </w:r>
      <w:proofErr w:type="spellEnd"/>
      <w:r w:rsidR="0081465F">
        <w:rPr>
          <w:i/>
        </w:rPr>
        <w:t xml:space="preserve">. </w:t>
      </w:r>
      <w:r w:rsidR="00323A14">
        <w:t xml:space="preserve">As </w:t>
      </w:r>
      <w:proofErr w:type="spellStart"/>
      <w:r w:rsidR="00323A14">
        <w:t>teleóginas</w:t>
      </w:r>
      <w:proofErr w:type="spellEnd"/>
      <w:r w:rsidR="00A366E1">
        <w:t xml:space="preserve">, </w:t>
      </w:r>
      <w:r w:rsidR="00CA7067">
        <w:t>provenientes</w:t>
      </w:r>
      <w:r w:rsidR="00323A14">
        <w:t xml:space="preserve"> de </w:t>
      </w:r>
      <w:r w:rsidR="00A366E1">
        <w:t>animais naturalmente infes</w:t>
      </w:r>
      <w:r w:rsidR="00DD6C45">
        <w:t>tados</w:t>
      </w:r>
      <w:r w:rsidR="00A366E1">
        <w:t>, foram distribuída</w:t>
      </w:r>
      <w:r w:rsidR="00A366E1" w:rsidRPr="00347E25">
        <w:t xml:space="preserve">s </w:t>
      </w:r>
      <w:r w:rsidR="00A366E1">
        <w:t>aleatoriamente, nos seguintes</w:t>
      </w:r>
      <w:r w:rsidR="00A366E1" w:rsidRPr="00347E25">
        <w:t xml:space="preserve"> tratamento</w:t>
      </w:r>
      <w:r w:rsidR="00A366E1">
        <w:t>s</w:t>
      </w:r>
      <w:r w:rsidR="00A366E1" w:rsidRPr="00347E25">
        <w:t>: c</w:t>
      </w:r>
      <w:r w:rsidR="00A366E1" w:rsidRPr="00347E25">
        <w:rPr>
          <w:bCs/>
        </w:rPr>
        <w:t xml:space="preserve">ontrole </w:t>
      </w:r>
      <w:r w:rsidR="00A366E1" w:rsidRPr="00831B6B">
        <w:rPr>
          <w:bCs/>
        </w:rPr>
        <w:t>positivo</w:t>
      </w:r>
      <w:r w:rsidR="00F30338">
        <w:t>,</w:t>
      </w:r>
      <w:r w:rsidR="00A366E1" w:rsidRPr="00347E25">
        <w:rPr>
          <w:bCs/>
        </w:rPr>
        <w:t xml:space="preserve"> controle negativo, </w:t>
      </w:r>
      <w:r w:rsidR="00A366E1">
        <w:rPr>
          <w:bCs/>
        </w:rPr>
        <w:t>extrato pirolenhoso Palmital</w:t>
      </w:r>
      <w:r w:rsidR="00CE3FF0">
        <w:rPr>
          <w:bCs/>
        </w:rPr>
        <w:t xml:space="preserve"> (EPP)</w:t>
      </w:r>
      <w:r w:rsidR="00A366E1">
        <w:rPr>
          <w:bCs/>
        </w:rPr>
        <w:t xml:space="preserve"> e extrato pirolenhoso </w:t>
      </w:r>
      <w:r w:rsidR="00A366E1">
        <w:t>Cândido Mota</w:t>
      </w:r>
      <w:r w:rsidR="00CE3FF0">
        <w:t xml:space="preserve"> (EPC)</w:t>
      </w:r>
      <w:r w:rsidR="00A366E1">
        <w:t>.</w:t>
      </w:r>
      <w:r w:rsidR="00A366E1">
        <w:rPr>
          <w:bCs/>
        </w:rPr>
        <w:t xml:space="preserve"> Esses</w:t>
      </w:r>
      <w:r w:rsidR="00A366E1" w:rsidRPr="00347E25">
        <w:t xml:space="preserve"> </w:t>
      </w:r>
      <w:r w:rsidR="00A366E1">
        <w:t>tratamentos foram avaliados</w:t>
      </w:r>
      <w:r w:rsidR="00CE3FF0">
        <w:t>,</w:t>
      </w:r>
      <w:r w:rsidR="00A366E1">
        <w:t xml:space="preserve"> </w:t>
      </w:r>
      <w:r w:rsidR="001C1EC6">
        <w:t>em triplicata</w:t>
      </w:r>
      <w:r w:rsidR="00CE3FF0">
        <w:t>,</w:t>
      </w:r>
      <w:r w:rsidR="001C1EC6">
        <w:t xml:space="preserve"> </w:t>
      </w:r>
      <w:r w:rsidR="00A366E1">
        <w:t xml:space="preserve">utilizando-se </w:t>
      </w:r>
      <w:r w:rsidR="001C1EC6">
        <w:t>a</w:t>
      </w:r>
      <w:r w:rsidR="001C1EC6" w:rsidRPr="00347E25">
        <w:t xml:space="preserve"> técni</w:t>
      </w:r>
      <w:r w:rsidR="001C1EC6">
        <w:t>ca de imersão de adultos (TIA)</w:t>
      </w:r>
      <w:r w:rsidR="00CE3FF0">
        <w:t>;</w:t>
      </w:r>
      <w:r w:rsidR="00A366E1">
        <w:t xml:space="preserve"> para se avaliar: índice de mortali</w:t>
      </w:r>
      <w:r w:rsidR="003A2A39">
        <w:t xml:space="preserve">dade, índice de </w:t>
      </w:r>
      <w:proofErr w:type="spellStart"/>
      <w:r w:rsidR="003A2A39">
        <w:t>eclodibilidade</w:t>
      </w:r>
      <w:proofErr w:type="spellEnd"/>
      <w:r w:rsidR="003A2A39">
        <w:t xml:space="preserve"> </w:t>
      </w:r>
      <w:r w:rsidR="00A366E1" w:rsidRPr="00D50622">
        <w:rPr>
          <w:rFonts w:eastAsia="Arial"/>
        </w:rPr>
        <w:t>e a eficácia do produto</w:t>
      </w:r>
      <w:r w:rsidR="00A366E1" w:rsidRPr="00D50622">
        <w:t>.</w:t>
      </w:r>
      <w:r w:rsidR="00A366E1">
        <w:t xml:space="preserve"> </w:t>
      </w:r>
      <w:r w:rsidR="00CE3FF0">
        <w:t xml:space="preserve">Verificou-se índice de mortalidade </w:t>
      </w:r>
      <w:r w:rsidR="00015DEC" w:rsidRPr="00015DEC">
        <w:t>54% e 39</w:t>
      </w:r>
      <w:r w:rsidR="00CE3FF0" w:rsidRPr="00015DEC">
        <w:t>%</w:t>
      </w:r>
      <w:r w:rsidR="00CE3FF0">
        <w:t xml:space="preserve"> para os extratos EPP e EPC, respectivamente. Em relação à </w:t>
      </w:r>
      <w:proofErr w:type="spellStart"/>
      <w:r w:rsidR="00CE3FF0">
        <w:t>ovipostura</w:t>
      </w:r>
      <w:proofErr w:type="spellEnd"/>
      <w:r w:rsidR="00015DEC">
        <w:t>, os índi</w:t>
      </w:r>
      <w:r w:rsidR="00D3688E">
        <w:t xml:space="preserve">ces de </w:t>
      </w:r>
      <w:proofErr w:type="spellStart"/>
      <w:r w:rsidR="00D3688E">
        <w:t>eclodibilidade</w:t>
      </w:r>
      <w:proofErr w:type="spellEnd"/>
      <w:r w:rsidR="00D3688E">
        <w:t xml:space="preserve"> para o</w:t>
      </w:r>
      <w:r w:rsidR="00015DEC">
        <w:t xml:space="preserve"> ex</w:t>
      </w:r>
      <w:r w:rsidR="00D3688E">
        <w:t xml:space="preserve">trato EPP foram de 86% e para o extrato EPC foram de 93%. Portanto, a partir destes resultados, a eficácia dos extratos pode ser avaliada como parcialmente eficaz em relação aos parâmetros de mortalidade e considerada ineficaz quanto aos índices de </w:t>
      </w:r>
      <w:proofErr w:type="spellStart"/>
      <w:r w:rsidR="00D3688E">
        <w:t>ovipostura</w:t>
      </w:r>
      <w:proofErr w:type="spellEnd"/>
      <w:r w:rsidR="00D3688E" w:rsidRPr="00D3688E">
        <w:t xml:space="preserve">. </w:t>
      </w:r>
      <w:r w:rsidR="00D8444C" w:rsidRPr="00D3688E">
        <w:t>Para as condições avaliadas, apenas o tratamento controle positivo apresentou eficácia acima de 95%, considerada mínima, pela legislação brasileira, para registro de um produto comercial pe</w:t>
      </w:r>
      <w:r w:rsidR="00D3688E">
        <w:t>lo Ministério da Agricultura, Pecuária e Abastecimento (MAPA)</w:t>
      </w:r>
    </w:p>
    <w:bookmarkEnd w:id="0"/>
    <w:p w14:paraId="7FCCBF68" w14:textId="77777777" w:rsidR="00323A14" w:rsidRPr="0081465F" w:rsidRDefault="00323A14" w:rsidP="00D87570">
      <w:pPr>
        <w:jc w:val="both"/>
      </w:pPr>
    </w:p>
    <w:p w14:paraId="6CD7EBCB" w14:textId="77777777" w:rsidR="00D87570" w:rsidRPr="007E70FE" w:rsidRDefault="00D87570" w:rsidP="00D87570">
      <w:r w:rsidRPr="007E70FE">
        <w:rPr>
          <w:b/>
        </w:rPr>
        <w:t xml:space="preserve">Introdução </w:t>
      </w:r>
    </w:p>
    <w:p w14:paraId="327DC40E" w14:textId="77777777" w:rsidR="00D87570" w:rsidRPr="007E70FE" w:rsidRDefault="00D87570" w:rsidP="0081465F">
      <w:pPr>
        <w:jc w:val="both"/>
      </w:pPr>
    </w:p>
    <w:p w14:paraId="62701E98" w14:textId="1CF48B1A" w:rsidR="0081465F" w:rsidRDefault="00D651C7" w:rsidP="0081465F">
      <w:pPr>
        <w:jc w:val="both"/>
      </w:pPr>
      <w:r>
        <w:t xml:space="preserve">           </w:t>
      </w:r>
      <w:r w:rsidR="0081465F" w:rsidRPr="00592677">
        <w:t xml:space="preserve">No cenário da pecuária brasileira, o carrapato bovino </w:t>
      </w:r>
      <w:proofErr w:type="spellStart"/>
      <w:r w:rsidR="0081465F" w:rsidRPr="00592677">
        <w:rPr>
          <w:i/>
        </w:rPr>
        <w:t>R</w:t>
      </w:r>
      <w:r w:rsidR="0081465F">
        <w:rPr>
          <w:i/>
        </w:rPr>
        <w:t>hipicephalus</w:t>
      </w:r>
      <w:proofErr w:type="spellEnd"/>
      <w:r w:rsidR="0081465F">
        <w:rPr>
          <w:i/>
        </w:rPr>
        <w:t xml:space="preserve"> (</w:t>
      </w:r>
      <w:proofErr w:type="spellStart"/>
      <w:r w:rsidR="0081465F">
        <w:rPr>
          <w:i/>
        </w:rPr>
        <w:t>Boophilus</w:t>
      </w:r>
      <w:proofErr w:type="spellEnd"/>
      <w:r w:rsidR="0081465F">
        <w:rPr>
          <w:i/>
        </w:rPr>
        <w:t xml:space="preserve">) </w:t>
      </w:r>
      <w:proofErr w:type="spellStart"/>
      <w:r w:rsidR="0081465F" w:rsidRPr="00592677">
        <w:rPr>
          <w:i/>
        </w:rPr>
        <w:t>microplus</w:t>
      </w:r>
      <w:proofErr w:type="spellEnd"/>
      <w:r w:rsidR="0081465F" w:rsidRPr="00592677">
        <w:rPr>
          <w:i/>
        </w:rPr>
        <w:t xml:space="preserve"> </w:t>
      </w:r>
      <w:r w:rsidR="0081465F" w:rsidRPr="00592677">
        <w:t xml:space="preserve">representa um dos maiores entraves no desenvolvimento. </w:t>
      </w:r>
      <w:r w:rsidR="0086492C">
        <w:t>Este</w:t>
      </w:r>
      <w:r w:rsidR="0081465F" w:rsidRPr="00592677">
        <w:t xml:space="preserve"> parasita é responsável por perda econômica </w:t>
      </w:r>
      <w:r w:rsidR="0086492C">
        <w:t>de</w:t>
      </w:r>
      <w:r w:rsidR="0081465F" w:rsidRPr="00592677">
        <w:t xml:space="preserve"> aproximadamente 2 b</w:t>
      </w:r>
      <w:r w:rsidR="00250916">
        <w:t>ilhões de dólares por ano (FLAUSINI</w:t>
      </w:r>
      <w:r w:rsidR="0081465F" w:rsidRPr="00592677">
        <w:t xml:space="preserve"> et al</w:t>
      </w:r>
      <w:r w:rsidR="00CA64EC">
        <w:t xml:space="preserve">., </w:t>
      </w:r>
      <w:r w:rsidR="00250916">
        <w:t>1995</w:t>
      </w:r>
      <w:r w:rsidR="00CA64EC">
        <w:t>)</w:t>
      </w:r>
      <w:r w:rsidR="00C94F2A">
        <w:t>.</w:t>
      </w:r>
      <w:r w:rsidR="0086492C">
        <w:t xml:space="preserve"> Seu controle é usualmente realizado por pesticidas químicos</w:t>
      </w:r>
      <w:r w:rsidR="0081465F" w:rsidRPr="00592677">
        <w:t xml:space="preserve">, </w:t>
      </w:r>
      <w:r w:rsidR="0086492C">
        <w:t>que</w:t>
      </w:r>
      <w:r w:rsidR="0081465F" w:rsidRPr="00592677">
        <w:t xml:space="preserve"> resulta em </w:t>
      </w:r>
      <w:r w:rsidR="0086492C">
        <w:t>alto</w:t>
      </w:r>
      <w:r w:rsidR="0081465F" w:rsidRPr="00592677">
        <w:t xml:space="preserve"> custo </w:t>
      </w:r>
      <w:r w:rsidR="0086492C">
        <w:t xml:space="preserve">e </w:t>
      </w:r>
      <w:r w:rsidR="0081465F" w:rsidRPr="00592677">
        <w:t xml:space="preserve">seleção de populações resistentes </w:t>
      </w:r>
      <w:r w:rsidR="00B25AA4">
        <w:t>(RODRIGUEZ et al., 2010</w:t>
      </w:r>
      <w:r w:rsidR="0081465F" w:rsidRPr="00592677">
        <w:t xml:space="preserve">). </w:t>
      </w:r>
      <w:r w:rsidR="0086492C">
        <w:t xml:space="preserve">Por outro lado, </w:t>
      </w:r>
      <w:r w:rsidR="0081465F" w:rsidRPr="00592677">
        <w:t xml:space="preserve">controles </w:t>
      </w:r>
      <w:r w:rsidR="0086492C">
        <w:t>naturais originários de plantas tendem à</w:t>
      </w:r>
      <w:r w:rsidR="0081465F" w:rsidRPr="00592677">
        <w:t xml:space="preserve"> apresentar baixa toxicidade aos mamíferos, rápida degradação e desenvolvimento lento da </w:t>
      </w:r>
      <w:r w:rsidR="0081465F" w:rsidRPr="00592677">
        <w:lastRenderedPageBreak/>
        <w:t>resistência, além de não gerar resíduos cárneos e lác</w:t>
      </w:r>
      <w:r w:rsidR="0086492C">
        <w:t>teos, favorecendo os sistemas agroecológicos, orgânicos e biodinâmicos de produção.</w:t>
      </w:r>
      <w:r w:rsidR="0081465F" w:rsidRPr="00592677">
        <w:t xml:space="preserve"> </w:t>
      </w:r>
    </w:p>
    <w:p w14:paraId="22E617F3" w14:textId="65F6210B" w:rsidR="00D651C7" w:rsidRPr="003A2A39" w:rsidRDefault="00D651C7" w:rsidP="0081465F">
      <w:pPr>
        <w:jc w:val="both"/>
        <w:rPr>
          <w:i/>
        </w:rPr>
      </w:pPr>
      <w:r>
        <w:t xml:space="preserve">          </w:t>
      </w:r>
      <w:r w:rsidR="0086492C">
        <w:t>O extrato pirolenhoso</w:t>
      </w:r>
      <w:r w:rsidR="0081465F" w:rsidRPr="00592677">
        <w:t xml:space="preserve">, </w:t>
      </w:r>
      <w:r w:rsidR="00040B1D">
        <w:t>é obtido a partir do</w:t>
      </w:r>
      <w:r w:rsidR="0081465F" w:rsidRPr="00592677">
        <w:t xml:space="preserve"> processo de carbonização da madeira, a pirólise, que consiste na decomposição térmica d</w:t>
      </w:r>
      <w:r w:rsidR="00040B1D">
        <w:t>o</w:t>
      </w:r>
      <w:r w:rsidR="0081465F" w:rsidRPr="00592677">
        <w:t xml:space="preserve"> material </w:t>
      </w:r>
      <w:r w:rsidR="00040B1D">
        <w:t>vegetal</w:t>
      </w:r>
      <w:r w:rsidR="0081465F" w:rsidRPr="00592677">
        <w:t>, d</w:t>
      </w:r>
      <w:r w:rsidR="00040B1D">
        <w:t>ando origem à</w:t>
      </w:r>
      <w:r w:rsidR="0081465F" w:rsidRPr="00592677">
        <w:t xml:space="preserve"> uma fase líquida, conhecida como extrato pirolenhoso,</w:t>
      </w:r>
      <w:r w:rsidR="00040B1D">
        <w:t xml:space="preserve"> ou</w:t>
      </w:r>
      <w:r w:rsidR="006B0E52">
        <w:t xml:space="preserve"> ácido pirolenhoso</w:t>
      </w:r>
      <w:r w:rsidR="0081465F" w:rsidRPr="00592677">
        <w:t>, ou ainda vinagre de madeira</w:t>
      </w:r>
      <w:r w:rsidR="006B0E52">
        <w:t>.</w:t>
      </w:r>
      <w:r w:rsidR="00040B1D">
        <w:t xml:space="preserve"> E</w:t>
      </w:r>
      <w:r w:rsidR="006B0E52">
        <w:t>sse produto te</w:t>
      </w:r>
      <w:r w:rsidR="00040B1D">
        <w:t>m</w:t>
      </w:r>
      <w:r w:rsidR="00076E9B">
        <w:t xml:space="preserve"> sido utilizado</w:t>
      </w:r>
      <w:r w:rsidR="006B0E52">
        <w:t xml:space="preserve"> como adubo orgânico na agricultura</w:t>
      </w:r>
      <w:r w:rsidR="00076E9B">
        <w:t xml:space="preserve"> (CAMPOS, 2007) </w:t>
      </w:r>
      <w:r w:rsidR="00040B1D">
        <w:t>e também</w:t>
      </w:r>
      <w:r w:rsidR="00076E9B">
        <w:t xml:space="preserve"> no</w:t>
      </w:r>
      <w:r w:rsidR="00040B1D">
        <w:t xml:space="preserve"> </w:t>
      </w:r>
      <w:r w:rsidR="0081465F" w:rsidRPr="00592677">
        <w:t>controle de</w:t>
      </w:r>
      <w:r w:rsidR="00076E9B">
        <w:t xml:space="preserve"> pragas como do </w:t>
      </w:r>
      <w:proofErr w:type="spellStart"/>
      <w:r w:rsidR="00076E9B" w:rsidRPr="00076E9B">
        <w:rPr>
          <w:i/>
        </w:rPr>
        <w:t>Brevipalpus</w:t>
      </w:r>
      <w:proofErr w:type="spellEnd"/>
      <w:r w:rsidR="00076E9B" w:rsidRPr="00076E9B">
        <w:rPr>
          <w:i/>
        </w:rPr>
        <w:t xml:space="preserve"> </w:t>
      </w:r>
      <w:proofErr w:type="spellStart"/>
      <w:r w:rsidR="00076E9B" w:rsidRPr="00076E9B">
        <w:rPr>
          <w:i/>
        </w:rPr>
        <w:t>phoenicis</w:t>
      </w:r>
      <w:proofErr w:type="spellEnd"/>
      <w:r w:rsidR="00076E9B">
        <w:t xml:space="preserve">, que é o ácaro vetor da </w:t>
      </w:r>
      <w:proofErr w:type="spellStart"/>
      <w:r w:rsidR="00076E9B">
        <w:t>leprose</w:t>
      </w:r>
      <w:proofErr w:type="spellEnd"/>
      <w:r w:rsidR="00076E9B">
        <w:t xml:space="preserve"> dos citros. </w:t>
      </w:r>
      <w:r w:rsidR="0081465F" w:rsidRPr="00592677">
        <w:t>Dessa forma</w:t>
      </w:r>
      <w:r w:rsidR="0081465F" w:rsidRPr="003A2A39">
        <w:t xml:space="preserve">, o objetivo do presente trabalho foi </w:t>
      </w:r>
      <w:r w:rsidR="00040B1D" w:rsidRPr="003A2A39">
        <w:t xml:space="preserve">verificar </w:t>
      </w:r>
      <w:r w:rsidR="003A2A39">
        <w:t xml:space="preserve">se há </w:t>
      </w:r>
      <w:r w:rsidR="00040B1D" w:rsidRPr="003A2A39">
        <w:t>ação acaricida</w:t>
      </w:r>
      <w:r w:rsidR="00040B1D" w:rsidRPr="003A2A39">
        <w:rPr>
          <w:i/>
        </w:rPr>
        <w:t>, in vitro</w:t>
      </w:r>
      <w:r w:rsidR="00040B1D" w:rsidRPr="003A2A39">
        <w:t xml:space="preserve">, do extrato pirolenhoso sobre </w:t>
      </w:r>
      <w:proofErr w:type="spellStart"/>
      <w:r w:rsidR="00040B1D" w:rsidRPr="003A2A39">
        <w:rPr>
          <w:i/>
        </w:rPr>
        <w:t>Rhip</w:t>
      </w:r>
      <w:r w:rsidR="003A2A39">
        <w:rPr>
          <w:i/>
        </w:rPr>
        <w:t>icephalus</w:t>
      </w:r>
      <w:proofErr w:type="spellEnd"/>
      <w:r w:rsidR="003A2A39">
        <w:rPr>
          <w:i/>
        </w:rPr>
        <w:t xml:space="preserve"> (</w:t>
      </w:r>
      <w:proofErr w:type="spellStart"/>
      <w:r w:rsidR="003A2A39">
        <w:rPr>
          <w:i/>
        </w:rPr>
        <w:t>Boophilus</w:t>
      </w:r>
      <w:proofErr w:type="spellEnd"/>
      <w:r w:rsidR="003A2A39">
        <w:rPr>
          <w:i/>
        </w:rPr>
        <w:t xml:space="preserve">) </w:t>
      </w:r>
      <w:proofErr w:type="spellStart"/>
      <w:r w:rsidR="003A2A39">
        <w:rPr>
          <w:i/>
        </w:rPr>
        <w:t>microplus</w:t>
      </w:r>
      <w:proofErr w:type="spellEnd"/>
      <w:r w:rsidR="003A2A39">
        <w:rPr>
          <w:i/>
        </w:rPr>
        <w:t xml:space="preserve">, </w:t>
      </w:r>
      <w:r w:rsidR="003A2A39">
        <w:t>podendo este trabalho ser considerado um dos pioneiros em avaliar o uso de extrato pirolenhoso no carrapato bovino.</w:t>
      </w:r>
    </w:p>
    <w:p w14:paraId="703195AC" w14:textId="77777777" w:rsidR="00D87570" w:rsidRPr="007E70FE" w:rsidRDefault="00D87570" w:rsidP="00D87570">
      <w:pPr>
        <w:jc w:val="both"/>
      </w:pPr>
    </w:p>
    <w:p w14:paraId="3947E3DE" w14:textId="77777777" w:rsidR="00D87570" w:rsidRPr="007E70FE" w:rsidRDefault="00D87570" w:rsidP="00D87570">
      <w:pPr>
        <w:rPr>
          <w:b/>
        </w:rPr>
      </w:pPr>
      <w:r w:rsidRPr="007E70FE">
        <w:rPr>
          <w:b/>
        </w:rPr>
        <w:t>Materia</w:t>
      </w:r>
      <w:r>
        <w:rPr>
          <w:b/>
        </w:rPr>
        <w:t>l</w:t>
      </w:r>
      <w:r w:rsidRPr="007E70FE">
        <w:rPr>
          <w:b/>
        </w:rPr>
        <w:t xml:space="preserve"> e métodos </w:t>
      </w:r>
    </w:p>
    <w:p w14:paraId="15FD8335" w14:textId="77777777" w:rsidR="00D87570" w:rsidRPr="007E70FE" w:rsidRDefault="00D87570" w:rsidP="00D87570">
      <w:pPr>
        <w:jc w:val="both"/>
      </w:pPr>
    </w:p>
    <w:p w14:paraId="399F4DA3" w14:textId="4582F33B" w:rsidR="0081465F" w:rsidRDefault="00040B1D" w:rsidP="00EC0ACE">
      <w:pPr>
        <w:jc w:val="both"/>
      </w:pPr>
      <w:r>
        <w:tab/>
      </w:r>
      <w:r w:rsidR="00EC0ACE" w:rsidRPr="00EC0ACE">
        <w:rPr>
          <w:highlight w:val="yellow"/>
        </w:rPr>
        <w:t>Os extratos pirolenhosos</w:t>
      </w:r>
      <w:r w:rsidR="00EC0ACE" w:rsidRPr="00FC201D">
        <w:rPr>
          <w:highlight w:val="yellow"/>
        </w:rPr>
        <w:t>....(falta</w:t>
      </w:r>
      <w:r w:rsidR="00FC201D" w:rsidRPr="00FC201D">
        <w:rPr>
          <w:highlight w:val="yellow"/>
        </w:rPr>
        <w:t>m</w:t>
      </w:r>
      <w:r w:rsidR="00EC0ACE" w:rsidRPr="00FC201D">
        <w:rPr>
          <w:highlight w:val="yellow"/>
        </w:rPr>
        <w:t xml:space="preserve"> as informações do </w:t>
      </w:r>
      <w:proofErr w:type="spellStart"/>
      <w:r w:rsidR="00EC0ACE" w:rsidRPr="00FC201D">
        <w:rPr>
          <w:highlight w:val="yellow"/>
        </w:rPr>
        <w:t>Regildo</w:t>
      </w:r>
      <w:proofErr w:type="spellEnd"/>
      <w:r w:rsidR="00EC0ACE" w:rsidRPr="00FC201D">
        <w:rPr>
          <w:highlight w:val="yellow"/>
        </w:rPr>
        <w:t xml:space="preserve">, como origem dos extratos e </w:t>
      </w:r>
      <w:proofErr w:type="spellStart"/>
      <w:r w:rsidR="00EC0ACE" w:rsidRPr="00FC201D">
        <w:rPr>
          <w:highlight w:val="yellow"/>
        </w:rPr>
        <w:t>concetrações</w:t>
      </w:r>
      <w:proofErr w:type="spellEnd"/>
      <w:r w:rsidR="00EC0ACE" w:rsidRPr="00FC201D">
        <w:rPr>
          <w:highlight w:val="yellow"/>
        </w:rPr>
        <w:t>)</w:t>
      </w:r>
      <w:r w:rsidR="00FC201D" w:rsidRPr="00FC201D">
        <w:rPr>
          <w:highlight w:val="yellow"/>
        </w:rPr>
        <w:t>.</w:t>
      </w:r>
      <w:r w:rsidR="00FC201D">
        <w:t xml:space="preserve"> </w:t>
      </w:r>
    </w:p>
    <w:p w14:paraId="2F7247B3" w14:textId="31971B6E" w:rsidR="0081465F" w:rsidRDefault="00040B1D" w:rsidP="00EC0ACE">
      <w:pPr>
        <w:jc w:val="both"/>
      </w:pPr>
      <w:r>
        <w:tab/>
      </w:r>
      <w:r w:rsidR="00FC201D">
        <w:t>A</w:t>
      </w:r>
      <w:r w:rsidR="00EC0ACE">
        <w:t xml:space="preserve">s </w:t>
      </w:r>
      <w:proofErr w:type="spellStart"/>
      <w:r w:rsidR="00EC0ACE">
        <w:t>teleóginas</w:t>
      </w:r>
      <w:proofErr w:type="spellEnd"/>
      <w:r w:rsidR="00EC0ACE">
        <w:t xml:space="preserve"> de </w:t>
      </w:r>
      <w:proofErr w:type="spellStart"/>
      <w:r w:rsidRPr="0081465F">
        <w:rPr>
          <w:i/>
        </w:rPr>
        <w:t>Rhipicephalus</w:t>
      </w:r>
      <w:proofErr w:type="spellEnd"/>
      <w:r w:rsidRPr="0081465F">
        <w:rPr>
          <w:i/>
        </w:rPr>
        <w:t xml:space="preserve"> (</w:t>
      </w:r>
      <w:proofErr w:type="spellStart"/>
      <w:r w:rsidRPr="0081465F">
        <w:rPr>
          <w:i/>
        </w:rPr>
        <w:t>Boophilus</w:t>
      </w:r>
      <w:proofErr w:type="spellEnd"/>
      <w:r w:rsidRPr="0081465F">
        <w:rPr>
          <w:i/>
        </w:rPr>
        <w:t xml:space="preserve">) </w:t>
      </w:r>
      <w:proofErr w:type="spellStart"/>
      <w:r w:rsidRPr="0081465F">
        <w:rPr>
          <w:i/>
        </w:rPr>
        <w:t>microplus</w:t>
      </w:r>
      <w:proofErr w:type="spellEnd"/>
      <w:r>
        <w:t xml:space="preserve"> </w:t>
      </w:r>
      <w:r w:rsidR="00EC0ACE">
        <w:t xml:space="preserve">foram </w:t>
      </w:r>
      <w:r>
        <w:t>provenientes de animais naturalmente infestados, e não haviam sido expostos previamente à carrapaticidas químicos, por pelo menos 90 dias. Realizou-se coleta</w:t>
      </w:r>
      <w:r w:rsidR="00EC0ACE">
        <w:t xml:space="preserve"> </w:t>
      </w:r>
      <w:r>
        <w:t xml:space="preserve">manual </w:t>
      </w:r>
      <w:r w:rsidR="00EC0ACE">
        <w:t>por rotação</w:t>
      </w:r>
      <w:r>
        <w:t>, transporte</w:t>
      </w:r>
      <w:r w:rsidR="00EC0ACE">
        <w:t xml:space="preserve"> em recipientes de vidro estéreis com entrada de ar</w:t>
      </w:r>
      <w:r>
        <w:t>, e encaminhamento ao L</w:t>
      </w:r>
      <w:r w:rsidR="00EC0ACE">
        <w:t>aboratório</w:t>
      </w:r>
      <w:r>
        <w:t xml:space="preserve"> de Óleos Essenciais e </w:t>
      </w:r>
      <w:proofErr w:type="spellStart"/>
      <w:r>
        <w:t>Bioterápicos</w:t>
      </w:r>
      <w:proofErr w:type="spellEnd"/>
      <w:r>
        <w:t xml:space="preserve"> UENP</w:t>
      </w:r>
      <w:r w:rsidR="00EC0ACE">
        <w:t xml:space="preserve">. </w:t>
      </w:r>
    </w:p>
    <w:p w14:paraId="70535EB6" w14:textId="4D745F9E" w:rsidR="0081465F" w:rsidRDefault="00D651C7" w:rsidP="00FF4366">
      <w:pPr>
        <w:jc w:val="both"/>
      </w:pPr>
      <w:r>
        <w:t xml:space="preserve">              </w:t>
      </w:r>
      <w:r w:rsidR="00040B1D">
        <w:t>Avaliou</w:t>
      </w:r>
      <w:r w:rsidR="00EC0ACE">
        <w:t>-se</w:t>
      </w:r>
      <w:r w:rsidR="00040B1D">
        <w:t xml:space="preserve"> as </w:t>
      </w:r>
      <w:proofErr w:type="spellStart"/>
      <w:r w:rsidR="00040B1D">
        <w:t>teleóginas</w:t>
      </w:r>
      <w:proofErr w:type="spellEnd"/>
      <w:r w:rsidR="00EC0ACE">
        <w:t xml:space="preserve"> </w:t>
      </w:r>
      <w:r w:rsidR="00FF4366">
        <w:t>ao</w:t>
      </w:r>
      <w:r w:rsidR="00DD6C45">
        <w:t xml:space="preserve"> </w:t>
      </w:r>
      <w:r w:rsidR="00EC0ACE">
        <w:t xml:space="preserve">microscópio </w:t>
      </w:r>
      <w:proofErr w:type="spellStart"/>
      <w:r w:rsidR="00EC0ACE">
        <w:t>esterioscópico</w:t>
      </w:r>
      <w:proofErr w:type="spellEnd"/>
      <w:r w:rsidR="00EC0ACE">
        <w:t xml:space="preserve"> </w:t>
      </w:r>
      <w:r w:rsidR="00FF4366">
        <w:t>quanto à mobilidade,</w:t>
      </w:r>
      <w:r w:rsidR="00DD6C45">
        <w:t xml:space="preserve"> </w:t>
      </w:r>
      <w:r w:rsidR="00EC0ACE">
        <w:t>ausência de restos de tegumento em seu aparelho bucal</w:t>
      </w:r>
      <w:r w:rsidR="00FF4366">
        <w:t>,</w:t>
      </w:r>
      <w:r w:rsidR="00EC0ACE">
        <w:t xml:space="preserve"> ou de</w:t>
      </w:r>
      <w:r w:rsidR="00FF4366">
        <w:t>mais</w:t>
      </w:r>
      <w:r w:rsidR="00EC0ACE">
        <w:t xml:space="preserve"> alterações morfológicas. Posteriormente, foram lavadas em água corrente, secas em papel absorvente</w:t>
      </w:r>
      <w:r w:rsidR="00FF4366">
        <w:t>, mensuradas individualmente, quanto aos seus respectivos comprimentos (paquímetro) e pesos</w:t>
      </w:r>
      <w:r w:rsidR="00EC0ACE">
        <w:t xml:space="preserve"> </w:t>
      </w:r>
      <w:r w:rsidR="00FF4366">
        <w:t xml:space="preserve">(balança analítica com </w:t>
      </w:r>
      <w:r w:rsidR="00EC0ACE">
        <w:t xml:space="preserve">precisão </w:t>
      </w:r>
      <w:r w:rsidR="00FF4366">
        <w:t xml:space="preserve">de </w:t>
      </w:r>
      <w:r w:rsidR="00EC0ACE">
        <w:t xml:space="preserve">0,001). </w:t>
      </w:r>
    </w:p>
    <w:p w14:paraId="69CD6C72" w14:textId="6A9FAD61" w:rsidR="00FF4366" w:rsidRDefault="00FF4366" w:rsidP="00EC0ACE">
      <w:pPr>
        <w:jc w:val="both"/>
      </w:pPr>
      <w:r>
        <w:t>Posteriormente realizou-se distribuição aleatória, nos seguintes</w:t>
      </w:r>
      <w:r w:rsidRPr="00347E25">
        <w:t xml:space="preserve"> tratamento</w:t>
      </w:r>
      <w:r>
        <w:t>s</w:t>
      </w:r>
      <w:r w:rsidRPr="00347E25">
        <w:t>: c</w:t>
      </w:r>
      <w:r w:rsidRPr="00347E25">
        <w:rPr>
          <w:bCs/>
        </w:rPr>
        <w:t xml:space="preserve">ontrole </w:t>
      </w:r>
      <w:r w:rsidRPr="00831B6B">
        <w:rPr>
          <w:bCs/>
        </w:rPr>
        <w:t>positivo</w:t>
      </w:r>
      <w:r w:rsidRPr="00831B6B">
        <w:t xml:space="preserve"> </w:t>
      </w:r>
      <w:r w:rsidR="003A2A39">
        <w:t>(</w:t>
      </w:r>
      <w:proofErr w:type="spellStart"/>
      <w:r w:rsidR="003A2A39">
        <w:t>ivermectina</w:t>
      </w:r>
      <w:proofErr w:type="spellEnd"/>
      <w:r w:rsidR="003A2A39">
        <w:t xml:space="preserve"> 100</w:t>
      </w:r>
      <w:r w:rsidRPr="003A2A39">
        <w:t>%)</w:t>
      </w:r>
      <w:r w:rsidRPr="003A2A39">
        <w:rPr>
          <w:bCs/>
        </w:rPr>
        <w:t>,</w:t>
      </w:r>
      <w:r w:rsidRPr="00347E25">
        <w:rPr>
          <w:bCs/>
        </w:rPr>
        <w:t xml:space="preserve"> controle negativo</w:t>
      </w:r>
      <w:r>
        <w:rPr>
          <w:bCs/>
        </w:rPr>
        <w:t xml:space="preserve"> </w:t>
      </w:r>
      <w:r>
        <w:t>(água destilada)</w:t>
      </w:r>
      <w:r w:rsidRPr="00347E25">
        <w:rPr>
          <w:bCs/>
        </w:rPr>
        <w:t xml:space="preserve">, </w:t>
      </w:r>
      <w:r>
        <w:rPr>
          <w:bCs/>
        </w:rPr>
        <w:t xml:space="preserve">extrato pirolenhoso Palmital (EPP) e extrato pirolenhoso </w:t>
      </w:r>
      <w:r>
        <w:t>Cândido Mota (EPC).</w:t>
      </w:r>
      <w:r>
        <w:rPr>
          <w:bCs/>
        </w:rPr>
        <w:t xml:space="preserve"> Esses</w:t>
      </w:r>
      <w:r w:rsidRPr="00347E25">
        <w:t xml:space="preserve"> </w:t>
      </w:r>
      <w:r>
        <w:t>tratamentos foram avaliados, em triplicata, utilizando-se a</w:t>
      </w:r>
      <w:r w:rsidRPr="00347E25">
        <w:t xml:space="preserve"> técni</w:t>
      </w:r>
      <w:r>
        <w:t xml:space="preserve">ca de imersão de adultos (TIA) segundo metodologia de </w:t>
      </w:r>
      <w:r w:rsidRPr="00144014">
        <w:t>DRUMMOND et al. (1973)</w:t>
      </w:r>
      <w:r>
        <w:t>.</w:t>
      </w:r>
    </w:p>
    <w:p w14:paraId="2173F22B" w14:textId="2522DD9B" w:rsidR="00EC0ACE" w:rsidRDefault="00FF4366" w:rsidP="00D8444C">
      <w:pPr>
        <w:jc w:val="both"/>
      </w:pPr>
      <w:r>
        <w:tab/>
        <w:t xml:space="preserve">Foram avaliados os índices: de mortalidade, </w:t>
      </w:r>
      <w:r w:rsidRPr="003A2A39">
        <w:t>de produ</w:t>
      </w:r>
      <w:r w:rsidR="003A2A39">
        <w:t xml:space="preserve">ção de ovos, de </w:t>
      </w:r>
      <w:proofErr w:type="spellStart"/>
      <w:r w:rsidR="003A2A39">
        <w:t>eclodibilidade</w:t>
      </w:r>
      <w:proofErr w:type="spellEnd"/>
      <w:r w:rsidRPr="003A2A39">
        <w:rPr>
          <w:rFonts w:eastAsia="Arial"/>
        </w:rPr>
        <w:t xml:space="preserve"> e a eficácia do produto</w:t>
      </w:r>
      <w:r w:rsidRPr="003A2A39">
        <w:t xml:space="preserve">. </w:t>
      </w:r>
      <w:r w:rsidR="00D8444C" w:rsidRPr="003A2A39">
        <w:t>Para tanto</w:t>
      </w:r>
      <w:r w:rsidR="003A2A39">
        <w:t>,</w:t>
      </w:r>
      <w:r w:rsidR="00D8444C" w:rsidRPr="003A2A39">
        <w:t xml:space="preserve"> as </w:t>
      </w:r>
      <w:proofErr w:type="spellStart"/>
      <w:r w:rsidR="00D8444C" w:rsidRPr="003A2A39">
        <w:t>teleóginas</w:t>
      </w:r>
      <w:proofErr w:type="spellEnd"/>
      <w:r w:rsidR="00D8444C" w:rsidRPr="003A2A39">
        <w:t xml:space="preserve"> </w:t>
      </w:r>
      <w:r w:rsidR="00FE6DD4" w:rsidRPr="003A2A39">
        <w:t>foram acondicionadas em placas de Petri</w:t>
      </w:r>
      <w:r w:rsidR="003A2A39">
        <w:t>, incubadas a uma</w:t>
      </w:r>
      <w:r w:rsidR="00D8444C" w:rsidRPr="003A2A39">
        <w:t xml:space="preserve"> temperatura</w:t>
      </w:r>
      <w:r w:rsidR="003A2A39">
        <w:t xml:space="preserve"> de 27º C</w:t>
      </w:r>
      <w:r w:rsidR="00D8444C" w:rsidRPr="003A2A39">
        <w:t xml:space="preserve"> e</w:t>
      </w:r>
      <w:r w:rsidR="003A2A39">
        <w:t xml:space="preserve"> a 75% de</w:t>
      </w:r>
      <w:r w:rsidR="00D8444C" w:rsidRPr="003A2A39">
        <w:t xml:space="preserve"> umidade, </w:t>
      </w:r>
      <w:r w:rsidR="00FE6DD4" w:rsidRPr="003A2A39">
        <w:t>em Incubadora de Demanda Bioló</w:t>
      </w:r>
      <w:r w:rsidR="00FE6DD4">
        <w:t>gica de Oxi</w:t>
      </w:r>
      <w:r w:rsidR="00D651C7">
        <w:t xml:space="preserve">gênio (B.O.D.) </w:t>
      </w:r>
      <w:r w:rsidR="00D8444C">
        <w:t>por 15 dias consecutivos</w:t>
      </w:r>
      <w:r w:rsidR="003A2A39">
        <w:t xml:space="preserve">. </w:t>
      </w:r>
      <w:r w:rsidR="009837B1">
        <w:t xml:space="preserve"> </w:t>
      </w:r>
    </w:p>
    <w:p w14:paraId="781E0D25" w14:textId="77777777" w:rsidR="00EC0ACE" w:rsidRPr="007E70FE" w:rsidRDefault="00EC0ACE" w:rsidP="00EC0ACE"/>
    <w:p w14:paraId="64141B58" w14:textId="6DBE441B" w:rsidR="009342AA" w:rsidRDefault="00D87570" w:rsidP="003A2A39">
      <w:r w:rsidRPr="007E70FE">
        <w:rPr>
          <w:b/>
        </w:rPr>
        <w:t xml:space="preserve">Resultados e Discussão </w:t>
      </w:r>
    </w:p>
    <w:p w14:paraId="3747C242" w14:textId="77777777" w:rsidR="003A2A39" w:rsidRDefault="003A2A39" w:rsidP="003A2A39"/>
    <w:p w14:paraId="7269E9D0" w14:textId="7DBF2080" w:rsidR="00C9509B" w:rsidRPr="007E70FE" w:rsidRDefault="00D651C7" w:rsidP="00D651C7">
      <w:pPr>
        <w:jc w:val="both"/>
      </w:pPr>
      <w:r>
        <w:t xml:space="preserve">              </w:t>
      </w:r>
      <w:r w:rsidR="006D7FB0">
        <w:t>Os</w:t>
      </w:r>
      <w:r w:rsidR="009837B1">
        <w:t xml:space="preserve"> </w:t>
      </w:r>
      <w:r w:rsidR="00D8444C">
        <w:t>índice</w:t>
      </w:r>
      <w:r w:rsidR="006D7FB0">
        <w:t>s</w:t>
      </w:r>
      <w:r w:rsidR="00D8444C">
        <w:t xml:space="preserve"> de</w:t>
      </w:r>
      <w:r w:rsidR="009837B1">
        <w:t xml:space="preserve"> </w:t>
      </w:r>
      <w:r w:rsidR="007D294D">
        <w:t>mortalidade</w:t>
      </w:r>
      <w:r w:rsidR="006D7FB0">
        <w:t xml:space="preserve"> e </w:t>
      </w:r>
      <w:proofErr w:type="spellStart"/>
      <w:r w:rsidR="006D7FB0">
        <w:t>ovipostura</w:t>
      </w:r>
      <w:proofErr w:type="spellEnd"/>
      <w:r w:rsidR="007D294D">
        <w:t xml:space="preserve"> das </w:t>
      </w:r>
      <w:proofErr w:type="spellStart"/>
      <w:r w:rsidR="007D294D">
        <w:t>teleóginas</w:t>
      </w:r>
      <w:proofErr w:type="spellEnd"/>
      <w:r w:rsidR="006D7FB0">
        <w:t>, submetidas aos diferentes tratamentos,</w:t>
      </w:r>
      <w:r w:rsidR="007D294D">
        <w:t xml:space="preserve"> estão </w:t>
      </w:r>
      <w:r w:rsidR="00D8444C">
        <w:t>apresentados</w:t>
      </w:r>
      <w:r w:rsidR="007D294D">
        <w:t xml:space="preserve"> na</w:t>
      </w:r>
      <w:r w:rsidR="006D7FB0">
        <w:t>s</w:t>
      </w:r>
      <w:r w:rsidR="007D294D">
        <w:t xml:space="preserve"> Figura 1</w:t>
      </w:r>
      <w:r w:rsidR="006D7FB0">
        <w:t xml:space="preserve"> e 2, respectivamente</w:t>
      </w:r>
      <w:r w:rsidR="007D294D">
        <w:t xml:space="preserve">. </w:t>
      </w:r>
    </w:p>
    <w:p w14:paraId="643BD183" w14:textId="46CE6D30" w:rsidR="00D87570" w:rsidRPr="007E70FE" w:rsidRDefault="00D8444C" w:rsidP="00D651C7">
      <w:pPr>
        <w:jc w:val="both"/>
      </w:pPr>
      <w:r>
        <w:t xml:space="preserve">  </w:t>
      </w:r>
    </w:p>
    <w:p w14:paraId="65E17FA8" w14:textId="29F316CB" w:rsidR="00E2245E" w:rsidRDefault="003A2A39" w:rsidP="00D651C7">
      <w:pPr>
        <w:ind w:right="22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="00FE6DD4">
        <w:rPr>
          <w:b/>
          <w:sz w:val="20"/>
          <w:szCs w:val="20"/>
        </w:rPr>
        <w:t xml:space="preserve">       </w:t>
      </w:r>
    </w:p>
    <w:p w14:paraId="16EB2D8B" w14:textId="77777777" w:rsidR="00E2245E" w:rsidRDefault="00FE6DD4" w:rsidP="00E2245E">
      <w:pPr>
        <w:ind w:right="2267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  <w:r w:rsidR="00E2245E" w:rsidRPr="00141241">
        <w:rPr>
          <w:noProof/>
          <w:lang w:val="en-US" w:eastAsia="en-US"/>
        </w:rPr>
        <w:drawing>
          <wp:inline distT="0" distB="0" distL="0" distR="0" wp14:anchorId="7DD1624B" wp14:editId="64B4E35C">
            <wp:extent cx="4891177" cy="1975449"/>
            <wp:effectExtent l="0" t="0" r="24130" b="25400"/>
            <wp:docPr id="21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63D549C" w14:textId="6827EB51" w:rsidR="005007C4" w:rsidRPr="006D7FB0" w:rsidRDefault="00FE6DD4" w:rsidP="006D7FB0">
      <w:pPr>
        <w:ind w:right="2267"/>
        <w:rPr>
          <w:sz w:val="20"/>
          <w:szCs w:val="20"/>
        </w:rPr>
      </w:pPr>
      <w:r>
        <w:rPr>
          <w:b/>
          <w:sz w:val="20"/>
          <w:szCs w:val="20"/>
        </w:rPr>
        <w:t>Figura 1</w:t>
      </w:r>
      <w:r w:rsidR="00D87570" w:rsidRPr="007E70FE">
        <w:rPr>
          <w:sz w:val="20"/>
          <w:szCs w:val="20"/>
        </w:rPr>
        <w:t xml:space="preserve"> –</w:t>
      </w:r>
      <w:r w:rsidR="00E2245E" w:rsidRPr="00E2245E">
        <w:t xml:space="preserve"> </w:t>
      </w:r>
      <w:r w:rsidR="00E2245E" w:rsidRPr="00E2245E">
        <w:rPr>
          <w:sz w:val="20"/>
          <w:szCs w:val="20"/>
        </w:rPr>
        <w:t xml:space="preserve">Índice de mortalidade, em percentagem, das </w:t>
      </w:r>
      <w:proofErr w:type="spellStart"/>
      <w:r w:rsidR="00E2245E" w:rsidRPr="00E2245E">
        <w:rPr>
          <w:sz w:val="20"/>
          <w:szCs w:val="20"/>
        </w:rPr>
        <w:t>teleóginas</w:t>
      </w:r>
      <w:proofErr w:type="spellEnd"/>
      <w:r w:rsidR="00E2245E" w:rsidRPr="00E2245E">
        <w:rPr>
          <w:sz w:val="20"/>
          <w:szCs w:val="20"/>
        </w:rPr>
        <w:t xml:space="preserve"> </w:t>
      </w:r>
      <w:r w:rsidR="003A2A39">
        <w:rPr>
          <w:sz w:val="20"/>
          <w:szCs w:val="20"/>
        </w:rPr>
        <w:t>para os tratamentos: controle positivo(</w:t>
      </w:r>
      <w:proofErr w:type="spellStart"/>
      <w:r w:rsidR="003A2A39">
        <w:rPr>
          <w:sz w:val="20"/>
          <w:szCs w:val="20"/>
        </w:rPr>
        <w:t>ivermectina</w:t>
      </w:r>
      <w:proofErr w:type="spellEnd"/>
      <w:r w:rsidR="003A2A39">
        <w:rPr>
          <w:sz w:val="20"/>
          <w:szCs w:val="20"/>
        </w:rPr>
        <w:t>), extrato pirolenhoso Cândido Mota, extrato pirolenhoso Palmital e controle negativo(água destilada)</w:t>
      </w:r>
      <w:r w:rsidR="00D8444C">
        <w:rPr>
          <w:sz w:val="20"/>
          <w:szCs w:val="20"/>
        </w:rPr>
        <w:t xml:space="preserve"> </w:t>
      </w:r>
      <w:r w:rsidR="00E2245E">
        <w:rPr>
          <w:sz w:val="20"/>
          <w:szCs w:val="20"/>
        </w:rPr>
        <w:t xml:space="preserve"> </w:t>
      </w:r>
      <w:r w:rsidR="00E2245E" w:rsidRPr="00E2245E">
        <w:rPr>
          <w:sz w:val="20"/>
          <w:szCs w:val="20"/>
        </w:rPr>
        <w:t xml:space="preserve">durante 15 </w:t>
      </w:r>
      <w:r w:rsidR="00E2245E">
        <w:rPr>
          <w:sz w:val="20"/>
          <w:szCs w:val="20"/>
        </w:rPr>
        <w:t>dias após aplicação.</w:t>
      </w:r>
    </w:p>
    <w:p w14:paraId="19E39EE5" w14:textId="0B99CF57" w:rsidR="005007C4" w:rsidRPr="007E70FE" w:rsidRDefault="00D651C7" w:rsidP="005007C4">
      <w:r>
        <w:t xml:space="preserve">             </w:t>
      </w:r>
    </w:p>
    <w:p w14:paraId="4C536FD6" w14:textId="77777777" w:rsidR="005007C4" w:rsidRDefault="005007C4" w:rsidP="005007C4">
      <w:pPr>
        <w:ind w:right="2267"/>
        <w:jc w:val="both"/>
        <w:rPr>
          <w:sz w:val="20"/>
          <w:szCs w:val="20"/>
        </w:rPr>
      </w:pPr>
    </w:p>
    <w:p w14:paraId="37F64ADF" w14:textId="77777777" w:rsidR="009342AA" w:rsidRDefault="009342AA" w:rsidP="00E2245E">
      <w:pPr>
        <w:ind w:right="2267"/>
        <w:rPr>
          <w:sz w:val="20"/>
          <w:szCs w:val="20"/>
        </w:rPr>
      </w:pPr>
      <w:r w:rsidRPr="00141241">
        <w:rPr>
          <w:noProof/>
          <w:lang w:val="en-US" w:eastAsia="en-US"/>
        </w:rPr>
        <w:drawing>
          <wp:inline distT="0" distB="0" distL="0" distR="0" wp14:anchorId="0A83340A" wp14:editId="66702186">
            <wp:extent cx="4675517" cy="1940944"/>
            <wp:effectExtent l="0" t="0" r="10795" b="21590"/>
            <wp:docPr id="1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EA31696" w14:textId="69C772B9" w:rsidR="009342AA" w:rsidRDefault="009342AA" w:rsidP="00E2245E">
      <w:pPr>
        <w:ind w:right="2267"/>
        <w:rPr>
          <w:sz w:val="20"/>
          <w:szCs w:val="20"/>
        </w:rPr>
      </w:pPr>
      <w:r w:rsidRPr="009342AA">
        <w:rPr>
          <w:b/>
          <w:sz w:val="20"/>
          <w:szCs w:val="20"/>
        </w:rPr>
        <w:t>Figura 2</w:t>
      </w:r>
      <w:r>
        <w:rPr>
          <w:sz w:val="20"/>
          <w:szCs w:val="20"/>
        </w:rPr>
        <w:t xml:space="preserve"> - </w:t>
      </w:r>
      <w:r w:rsidRPr="009342AA">
        <w:rPr>
          <w:sz w:val="20"/>
          <w:szCs w:val="20"/>
        </w:rPr>
        <w:t xml:space="preserve">Índice de </w:t>
      </w:r>
      <w:proofErr w:type="spellStart"/>
      <w:r w:rsidRPr="009342AA">
        <w:rPr>
          <w:sz w:val="20"/>
          <w:szCs w:val="20"/>
        </w:rPr>
        <w:t>ovipostura</w:t>
      </w:r>
      <w:proofErr w:type="spellEnd"/>
      <w:r w:rsidRPr="009342AA">
        <w:rPr>
          <w:sz w:val="20"/>
          <w:szCs w:val="20"/>
        </w:rPr>
        <w:t xml:space="preserve">, em percentagem, das </w:t>
      </w:r>
      <w:proofErr w:type="spellStart"/>
      <w:r w:rsidRPr="009342AA">
        <w:rPr>
          <w:sz w:val="20"/>
          <w:szCs w:val="20"/>
        </w:rPr>
        <w:t>teleógi</w:t>
      </w:r>
      <w:r>
        <w:rPr>
          <w:sz w:val="20"/>
          <w:szCs w:val="20"/>
        </w:rPr>
        <w:t>nas</w:t>
      </w:r>
      <w:proofErr w:type="spellEnd"/>
      <w:r>
        <w:rPr>
          <w:sz w:val="20"/>
          <w:szCs w:val="20"/>
        </w:rPr>
        <w:t xml:space="preserve"> para os tratamentos</w:t>
      </w:r>
      <w:r w:rsidR="00783005">
        <w:rPr>
          <w:sz w:val="20"/>
          <w:szCs w:val="20"/>
        </w:rPr>
        <w:t>: controle positivo(</w:t>
      </w:r>
      <w:proofErr w:type="spellStart"/>
      <w:r w:rsidR="00783005">
        <w:rPr>
          <w:sz w:val="20"/>
          <w:szCs w:val="20"/>
        </w:rPr>
        <w:t>ivermectina</w:t>
      </w:r>
      <w:proofErr w:type="spellEnd"/>
      <w:r w:rsidR="00783005">
        <w:rPr>
          <w:sz w:val="20"/>
          <w:szCs w:val="20"/>
        </w:rPr>
        <w:t xml:space="preserve">), extrato pirolenhoso Cândido Mota, extrato pirolenhoso Palmital e controle negativo(água destilada)  </w:t>
      </w:r>
      <w:r>
        <w:rPr>
          <w:sz w:val="20"/>
          <w:szCs w:val="20"/>
        </w:rPr>
        <w:t xml:space="preserve"> durante 15 dias após aplicação.</w:t>
      </w:r>
    </w:p>
    <w:p w14:paraId="4CF3980A" w14:textId="77777777" w:rsidR="004606D2" w:rsidRDefault="004606D2" w:rsidP="004606D2">
      <w:pPr>
        <w:rPr>
          <w:strike/>
        </w:rPr>
      </w:pPr>
    </w:p>
    <w:p w14:paraId="70D5C67A" w14:textId="77777777" w:rsidR="004606D2" w:rsidRPr="004606D2" w:rsidRDefault="004606D2" w:rsidP="004606D2">
      <w:pPr>
        <w:rPr>
          <w:highlight w:val="green"/>
        </w:rPr>
      </w:pPr>
    </w:p>
    <w:p w14:paraId="37406AAC" w14:textId="77777777" w:rsidR="004606D2" w:rsidRDefault="004606D2" w:rsidP="00D651C7"/>
    <w:p w14:paraId="372F2708" w14:textId="22C36DF6" w:rsidR="006D7FB0" w:rsidRDefault="00D651C7" w:rsidP="00D651C7">
      <w:r>
        <w:t xml:space="preserve">            </w:t>
      </w:r>
      <w:r w:rsidR="006D7FB0">
        <w:t xml:space="preserve">De acordo com os resultados apresentados na Figura 2, não houve influência dos extratos pirolenhosos sobre a </w:t>
      </w:r>
      <w:proofErr w:type="spellStart"/>
      <w:r w:rsidR="006D7FB0">
        <w:t>ovipostura</w:t>
      </w:r>
      <w:proofErr w:type="spellEnd"/>
      <w:r w:rsidR="006D7FB0">
        <w:t xml:space="preserve"> das </w:t>
      </w:r>
      <w:proofErr w:type="spellStart"/>
      <w:r w:rsidR="006D7FB0">
        <w:t>teleóginas</w:t>
      </w:r>
      <w:proofErr w:type="spellEnd"/>
      <w:r w:rsidR="006D7FB0">
        <w:t>.</w:t>
      </w:r>
      <w:r w:rsidR="00107384">
        <w:t xml:space="preserve"> Porém, pode-se verificar índices de mortalidade de 54% e 39% para o extrato pirolenhoso Palmital e para o extrato pirolenhoso Cândido Mota, respectivamente.</w:t>
      </w:r>
    </w:p>
    <w:p w14:paraId="529503E1" w14:textId="77777777" w:rsidR="004606D2" w:rsidRDefault="004606D2" w:rsidP="00D651C7"/>
    <w:p w14:paraId="7478E3CF" w14:textId="52EC96E5" w:rsidR="00783005" w:rsidRDefault="004606D2" w:rsidP="00783005">
      <w:r>
        <w:tab/>
      </w:r>
      <w:r w:rsidR="000B66F6">
        <w:t>No entanto</w:t>
      </w:r>
      <w:r w:rsidR="00D651C7">
        <w:t xml:space="preserve">, </w:t>
      </w:r>
      <w:r w:rsidR="00D651C7" w:rsidRPr="00D651C7">
        <w:t xml:space="preserve">SILVA et al, (2010) </w:t>
      </w:r>
      <w:r>
        <w:t xml:space="preserve">registraram ação </w:t>
      </w:r>
      <w:proofErr w:type="spellStart"/>
      <w:r>
        <w:t>larvicida</w:t>
      </w:r>
      <w:proofErr w:type="spellEnd"/>
      <w:r>
        <w:t xml:space="preserve">, de </w:t>
      </w:r>
      <w:r w:rsidRPr="00D651C7">
        <w:t>100%</w:t>
      </w:r>
      <w:r>
        <w:t>, do extrato pirolenhoso</w:t>
      </w:r>
      <w:r w:rsidR="00D651C7" w:rsidRPr="00D651C7">
        <w:t xml:space="preserve"> produz</w:t>
      </w:r>
      <w:r>
        <w:t>ido</w:t>
      </w:r>
      <w:r w:rsidR="00D651C7" w:rsidRPr="00D651C7">
        <w:t xml:space="preserve"> </w:t>
      </w:r>
      <w:r w:rsidR="00D651C7" w:rsidRPr="00783005">
        <w:t>a</w:t>
      </w:r>
      <w:r w:rsidRPr="00783005">
        <w:t xml:space="preserve"> partir de</w:t>
      </w:r>
      <w:r w:rsidR="00D651C7" w:rsidRPr="00D651C7">
        <w:t xml:space="preserve"> defumação do bagaço da cana, </w:t>
      </w:r>
      <w:r>
        <w:t>sobre</w:t>
      </w:r>
      <w:r w:rsidR="00D651C7" w:rsidRPr="00D651C7">
        <w:t xml:space="preserve"> </w:t>
      </w:r>
      <w:r>
        <w:t>a</w:t>
      </w:r>
      <w:r w:rsidR="00D651C7" w:rsidRPr="00D651C7">
        <w:t xml:space="preserve"> mortalidade </w:t>
      </w:r>
      <w:r w:rsidRPr="00783005">
        <w:t>de larvas</w:t>
      </w:r>
      <w:r w:rsidR="00D651C7" w:rsidRPr="00783005">
        <w:t xml:space="preserve"> </w:t>
      </w:r>
      <w:r w:rsidRPr="00783005">
        <w:t>de</w:t>
      </w:r>
      <w:r w:rsidR="00783005">
        <w:t xml:space="preserve"> </w:t>
      </w:r>
      <w:proofErr w:type="spellStart"/>
      <w:r w:rsidR="00783005" w:rsidRPr="00783005">
        <w:rPr>
          <w:i/>
        </w:rPr>
        <w:t>Boophilus</w:t>
      </w:r>
      <w:proofErr w:type="spellEnd"/>
      <w:r w:rsidR="00783005" w:rsidRPr="00783005">
        <w:rPr>
          <w:i/>
        </w:rPr>
        <w:t xml:space="preserve"> </w:t>
      </w:r>
      <w:proofErr w:type="spellStart"/>
      <w:r w:rsidR="00783005" w:rsidRPr="00783005">
        <w:rPr>
          <w:i/>
        </w:rPr>
        <w:t>microplus</w:t>
      </w:r>
      <w:proofErr w:type="spellEnd"/>
      <w:r>
        <w:t>. Esses pesquisadores avaliaram</w:t>
      </w:r>
      <w:r w:rsidR="00783005">
        <w:t xml:space="preserve"> </w:t>
      </w:r>
      <w:r w:rsidR="00D651C7">
        <w:t>na concentração de 64%</w:t>
      </w:r>
      <w:r>
        <w:t xml:space="preserve">, </w:t>
      </w:r>
      <w:r w:rsidR="00783005">
        <w:t>utilizando a técnica</w:t>
      </w:r>
    </w:p>
    <w:p w14:paraId="37B831BB" w14:textId="425AEA46" w:rsidR="00D651C7" w:rsidRDefault="00783005" w:rsidP="00783005">
      <w:r>
        <w:t xml:space="preserve">do papel filtro impregnado (larval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test</w:t>
      </w:r>
      <w:proofErr w:type="spellEnd"/>
      <w:r>
        <w:t>), nas seguintes concentrações (T1: 0% somente água destilada); (T2: 2%); (T3: 4%); (T4: 8%); (T5:16%); (T6: 32%) e (T7: 64%), sendo que apenas na concentração de 64% obteve-se um resultado eficaz.</w:t>
      </w:r>
    </w:p>
    <w:p w14:paraId="3058977F" w14:textId="77777777" w:rsidR="005007C4" w:rsidRDefault="005007C4" w:rsidP="00D651C7">
      <w:pPr>
        <w:tabs>
          <w:tab w:val="left" w:pos="3045"/>
        </w:tabs>
        <w:ind w:right="2267"/>
        <w:rPr>
          <w:sz w:val="20"/>
          <w:szCs w:val="20"/>
        </w:rPr>
      </w:pPr>
    </w:p>
    <w:p w14:paraId="51B89E54" w14:textId="77777777" w:rsidR="00E2245E" w:rsidRPr="00E2245E" w:rsidRDefault="00E2245E" w:rsidP="00E2245E">
      <w:pPr>
        <w:ind w:right="2267"/>
        <w:rPr>
          <w:sz w:val="20"/>
          <w:szCs w:val="20"/>
        </w:rPr>
      </w:pPr>
    </w:p>
    <w:p w14:paraId="329EE963" w14:textId="77777777" w:rsidR="00D87570" w:rsidRPr="007E70FE" w:rsidRDefault="00D87570" w:rsidP="00D87570">
      <w:r w:rsidRPr="007E70FE">
        <w:rPr>
          <w:b/>
        </w:rPr>
        <w:t>Conclusões</w:t>
      </w:r>
      <w:r w:rsidRPr="007E70FE">
        <w:t xml:space="preserve"> </w:t>
      </w:r>
    </w:p>
    <w:p w14:paraId="156C51E2" w14:textId="77777777" w:rsidR="00D87570" w:rsidRPr="007E70FE" w:rsidRDefault="00D87570" w:rsidP="00D87570"/>
    <w:p w14:paraId="778E198C" w14:textId="4CAEFF21" w:rsidR="00D87570" w:rsidRPr="007E70FE" w:rsidRDefault="00D220B1" w:rsidP="00D87570">
      <w:pPr>
        <w:ind w:firstLine="709"/>
        <w:jc w:val="both"/>
      </w:pPr>
      <w:r w:rsidRPr="00783005">
        <w:t>A partir dos resultados obtidos</w:t>
      </w:r>
      <w:r w:rsidR="00A5382F" w:rsidRPr="00783005">
        <w:t xml:space="preserve">, pode-se concluir que </w:t>
      </w:r>
      <w:r w:rsidR="00B2741B" w:rsidRPr="00783005">
        <w:t xml:space="preserve">apesar de </w:t>
      </w:r>
      <w:r w:rsidRPr="00783005">
        <w:t xml:space="preserve">não ter sido possível observar efetividade acaricida dos extratos </w:t>
      </w:r>
      <w:proofErr w:type="spellStart"/>
      <w:r w:rsidRPr="00783005">
        <w:t>pirolheosos</w:t>
      </w:r>
      <w:proofErr w:type="spellEnd"/>
      <w:r w:rsidRPr="00783005">
        <w:t>, pa</w:t>
      </w:r>
      <w:r w:rsidR="00783005">
        <w:t xml:space="preserve">ra as condições avaliadas, sua </w:t>
      </w:r>
      <w:r w:rsidRPr="00783005">
        <w:t xml:space="preserve">influencia </w:t>
      </w:r>
      <w:r w:rsidRPr="00783005">
        <w:lastRenderedPageBreak/>
        <w:t>sobre</w:t>
      </w:r>
      <w:r w:rsidR="006D7FB0" w:rsidRPr="00783005">
        <w:t xml:space="preserve"> a mortalidade</w:t>
      </w:r>
      <w:r w:rsidRPr="00783005">
        <w:t xml:space="preserve"> foi verificada, justificando assim estudos adicionais a fim de se avaliar diferentes concentrações</w:t>
      </w:r>
      <w:r w:rsidR="00CA64EC" w:rsidRPr="00783005">
        <w:t>.</w:t>
      </w:r>
    </w:p>
    <w:p w14:paraId="217716E2" w14:textId="77777777" w:rsidR="00D87570" w:rsidRPr="007E70FE" w:rsidRDefault="00D87570" w:rsidP="00D87570"/>
    <w:p w14:paraId="10569B32" w14:textId="77777777" w:rsidR="00CF3709" w:rsidRPr="007E70FE" w:rsidRDefault="00CF3709" w:rsidP="00CF3709">
      <w:r w:rsidRPr="00641AE8">
        <w:rPr>
          <w:b/>
        </w:rPr>
        <w:t>Agradecimentos</w:t>
      </w:r>
    </w:p>
    <w:p w14:paraId="658C94A5" w14:textId="77777777" w:rsidR="00CF3709" w:rsidRDefault="00CF3709" w:rsidP="00CF3709">
      <w:pPr>
        <w:jc w:val="both"/>
      </w:pPr>
    </w:p>
    <w:p w14:paraId="766B7543" w14:textId="400BF02F" w:rsidR="00CF3709" w:rsidRDefault="00CF3709" w:rsidP="00CF3709">
      <w:pPr>
        <w:jc w:val="both"/>
      </w:pPr>
      <w:r w:rsidRPr="00783005">
        <w:t>Os autores agradecem à Universidade Estadual do Norte do Paraná (UENP), Núcleo de Ensino, Extensão e Pesquisa em Agroecologia, Sustentabilidade e Produção Orgânica (NEPASP), Universidade Estadual Júlio de Mesquita Filho (UNESP/Assis), Conselho Nacional de Desenvolvimento Científico e Tecnológico (CNPq), Fundação Araucária e aos Ministérios da Educação (MEC), da Agricultura, Pecuária e Abastecimento (MAPA), da Ciência, Tecnologia e Inovação (MCTI), do Desenvolvimento Agrário (MDA) e da Pesca e Aquicultura (MPA) pelo suporte à execução do projeto e concessão de bolsa.</w:t>
      </w:r>
    </w:p>
    <w:p w14:paraId="70B59BDD" w14:textId="77777777" w:rsidR="00D87570" w:rsidRPr="007E70FE" w:rsidRDefault="00D87570" w:rsidP="00D87570"/>
    <w:p w14:paraId="02295D3B" w14:textId="77777777" w:rsidR="00D87570" w:rsidRPr="007E70FE" w:rsidRDefault="00D87570" w:rsidP="00D87570">
      <w:r w:rsidRPr="007E70FE">
        <w:rPr>
          <w:b/>
        </w:rPr>
        <w:t>Referências</w:t>
      </w:r>
      <w:r w:rsidRPr="007E70FE">
        <w:t xml:space="preserve"> </w:t>
      </w:r>
    </w:p>
    <w:p w14:paraId="07EA624D" w14:textId="77777777" w:rsidR="00D87570" w:rsidRPr="007E70FE" w:rsidRDefault="00D87570" w:rsidP="00D87570"/>
    <w:p w14:paraId="45C9CA7D" w14:textId="77777777" w:rsidR="00D87570" w:rsidRPr="007E70FE" w:rsidRDefault="00D87570" w:rsidP="00D87570"/>
    <w:p w14:paraId="6969F5D0" w14:textId="77777777" w:rsidR="00BA7840" w:rsidRDefault="00250916" w:rsidP="00BA7840">
      <w:r>
        <w:t xml:space="preserve">CAMPOS, A. </w:t>
      </w:r>
      <w:r w:rsidR="00BA7840">
        <w:t xml:space="preserve">D. Técnicas para produção de extrato pirolenhoso para uso agrícola. </w:t>
      </w:r>
      <w:r w:rsidR="00BA7840" w:rsidRPr="00BA7840">
        <w:rPr>
          <w:b/>
        </w:rPr>
        <w:t>Embrapa</w:t>
      </w:r>
      <w:r w:rsidR="00BA7840">
        <w:t xml:space="preserve"> 2007. (Circular Técnica, n°65).</w:t>
      </w:r>
    </w:p>
    <w:p w14:paraId="21082A5F" w14:textId="77777777" w:rsidR="00D87570" w:rsidRDefault="00D87570" w:rsidP="00D87570">
      <w:pPr>
        <w:jc w:val="both"/>
      </w:pPr>
    </w:p>
    <w:p w14:paraId="514E3103" w14:textId="77777777" w:rsidR="00250916" w:rsidRPr="00250916" w:rsidRDefault="00250916" w:rsidP="00D87570">
      <w:pPr>
        <w:jc w:val="both"/>
      </w:pPr>
      <w:r>
        <w:t xml:space="preserve">DA SILVA, I. C., et al. Ação </w:t>
      </w:r>
      <w:proofErr w:type="spellStart"/>
      <w:r>
        <w:t>larvicida</w:t>
      </w:r>
      <w:proofErr w:type="spellEnd"/>
      <w:r>
        <w:t xml:space="preserve"> “</w:t>
      </w:r>
      <w:r w:rsidRPr="00250916">
        <w:rPr>
          <w:i/>
        </w:rPr>
        <w:t>in vitro</w:t>
      </w:r>
      <w:r>
        <w:t xml:space="preserve">” do extrato pirolenhoso de cana de açúcar, sobre o </w:t>
      </w:r>
      <w:proofErr w:type="spellStart"/>
      <w:r w:rsidRPr="00250916">
        <w:rPr>
          <w:i/>
        </w:rPr>
        <w:t>Rhipicephalus</w:t>
      </w:r>
      <w:proofErr w:type="spellEnd"/>
      <w:r w:rsidRPr="00250916">
        <w:rPr>
          <w:i/>
        </w:rPr>
        <w:t xml:space="preserve"> (</w:t>
      </w:r>
      <w:proofErr w:type="spellStart"/>
      <w:r w:rsidRPr="00250916">
        <w:rPr>
          <w:i/>
        </w:rPr>
        <w:t>Boophilus</w:t>
      </w:r>
      <w:proofErr w:type="spellEnd"/>
      <w:r w:rsidRPr="00250916">
        <w:rPr>
          <w:i/>
        </w:rPr>
        <w:t xml:space="preserve">) </w:t>
      </w:r>
      <w:proofErr w:type="spellStart"/>
      <w:r w:rsidRPr="00250916">
        <w:rPr>
          <w:i/>
        </w:rPr>
        <w:t>microplus</w:t>
      </w:r>
      <w:proofErr w:type="spellEnd"/>
      <w:r>
        <w:rPr>
          <w:i/>
        </w:rPr>
        <w:t xml:space="preserve">. </w:t>
      </w:r>
      <w:r w:rsidRPr="00250916">
        <w:rPr>
          <w:b/>
        </w:rPr>
        <w:t>Revista Saúde</w:t>
      </w:r>
      <w:r>
        <w:t>, 2010.</w:t>
      </w:r>
      <w:r>
        <w:rPr>
          <w:i/>
        </w:rPr>
        <w:t xml:space="preserve"> </w:t>
      </w:r>
    </w:p>
    <w:p w14:paraId="3FBB2A43" w14:textId="77777777" w:rsidR="00250916" w:rsidRPr="00250916" w:rsidRDefault="00250916" w:rsidP="00D87570">
      <w:pPr>
        <w:jc w:val="both"/>
      </w:pPr>
    </w:p>
    <w:p w14:paraId="0A5134F1" w14:textId="77777777" w:rsidR="00D87570" w:rsidRPr="00EC75DC" w:rsidRDefault="00BA7840" w:rsidP="00D87570">
      <w:pPr>
        <w:jc w:val="both"/>
      </w:pPr>
      <w:r>
        <w:t>DRUMMOND, R. O., et al.</w:t>
      </w:r>
      <w:r w:rsidR="00CA64EC" w:rsidRPr="00EC75DC">
        <w:t xml:space="preserve"> </w:t>
      </w:r>
      <w:proofErr w:type="spellStart"/>
      <w:r w:rsidR="00CA64EC" w:rsidRPr="00BA7840">
        <w:t>Boophilus</w:t>
      </w:r>
      <w:proofErr w:type="spellEnd"/>
      <w:r w:rsidR="00CA64EC" w:rsidRPr="00BA7840">
        <w:t xml:space="preserve"> </w:t>
      </w:r>
      <w:proofErr w:type="spellStart"/>
      <w:r w:rsidR="00CA64EC" w:rsidRPr="00BA7840">
        <w:t>annulatus</w:t>
      </w:r>
      <w:proofErr w:type="spellEnd"/>
      <w:r w:rsidR="00CA64EC" w:rsidRPr="00EC75DC">
        <w:t xml:space="preserve"> </w:t>
      </w:r>
      <w:proofErr w:type="spellStart"/>
      <w:r w:rsidR="00CA64EC" w:rsidRPr="00EC75DC">
        <w:t>and</w:t>
      </w:r>
      <w:proofErr w:type="spellEnd"/>
      <w:r w:rsidR="00CA64EC" w:rsidRPr="00EC75DC">
        <w:t xml:space="preserve"> </w:t>
      </w:r>
      <w:proofErr w:type="spellStart"/>
      <w:r w:rsidR="00CA64EC" w:rsidRPr="00EC75DC">
        <w:t>Boophilus</w:t>
      </w:r>
      <w:proofErr w:type="spellEnd"/>
      <w:r w:rsidR="00CA64EC" w:rsidRPr="00EC75DC">
        <w:t xml:space="preserve"> </w:t>
      </w:r>
      <w:proofErr w:type="spellStart"/>
      <w:r w:rsidR="00CA64EC" w:rsidRPr="00EC75DC">
        <w:t>microplus</w:t>
      </w:r>
      <w:proofErr w:type="spellEnd"/>
      <w:r w:rsidR="00CA64EC" w:rsidRPr="00EC75DC">
        <w:t xml:space="preserve">: </w:t>
      </w:r>
      <w:proofErr w:type="spellStart"/>
      <w:r w:rsidR="00CA64EC" w:rsidRPr="00EC75DC">
        <w:t>Laboratory</w:t>
      </w:r>
      <w:proofErr w:type="spellEnd"/>
      <w:r w:rsidR="00CA64EC" w:rsidRPr="00EC75DC">
        <w:t xml:space="preserve"> </w:t>
      </w:r>
      <w:proofErr w:type="spellStart"/>
      <w:r w:rsidR="00CA64EC" w:rsidRPr="00EC75DC">
        <w:t>test</w:t>
      </w:r>
      <w:proofErr w:type="spellEnd"/>
      <w:r w:rsidR="00CA64EC" w:rsidRPr="00EC75DC">
        <w:t xml:space="preserve"> </w:t>
      </w:r>
      <w:proofErr w:type="spellStart"/>
      <w:r w:rsidR="00CA64EC" w:rsidRPr="00EC75DC">
        <w:t>of</w:t>
      </w:r>
      <w:proofErr w:type="spellEnd"/>
      <w:r w:rsidR="00CA64EC" w:rsidRPr="00EC75DC">
        <w:t xml:space="preserve"> </w:t>
      </w:r>
      <w:proofErr w:type="spellStart"/>
      <w:r w:rsidR="00CA64EC" w:rsidRPr="00EC75DC">
        <w:t>insecticides</w:t>
      </w:r>
      <w:proofErr w:type="spellEnd"/>
      <w:r w:rsidR="00CA64EC" w:rsidRPr="00EC75DC">
        <w:t xml:space="preserve">. </w:t>
      </w:r>
      <w:proofErr w:type="spellStart"/>
      <w:r w:rsidR="00CA64EC" w:rsidRPr="00BA7840">
        <w:rPr>
          <w:b/>
        </w:rPr>
        <w:t>Journal</w:t>
      </w:r>
      <w:proofErr w:type="spellEnd"/>
      <w:r w:rsidR="00CA64EC" w:rsidRPr="00BA7840">
        <w:rPr>
          <w:b/>
        </w:rPr>
        <w:t xml:space="preserve"> </w:t>
      </w:r>
      <w:proofErr w:type="spellStart"/>
      <w:r w:rsidR="00CA64EC" w:rsidRPr="00BA7840">
        <w:rPr>
          <w:b/>
        </w:rPr>
        <w:t>of</w:t>
      </w:r>
      <w:proofErr w:type="spellEnd"/>
      <w:r w:rsidR="00CA64EC" w:rsidRPr="00BA7840">
        <w:rPr>
          <w:b/>
        </w:rPr>
        <w:t xml:space="preserve"> </w:t>
      </w:r>
      <w:proofErr w:type="spellStart"/>
      <w:r w:rsidR="00CA64EC" w:rsidRPr="00BA7840">
        <w:rPr>
          <w:b/>
        </w:rPr>
        <w:t>Economic</w:t>
      </w:r>
      <w:proofErr w:type="spellEnd"/>
      <w:r w:rsidR="00CA64EC" w:rsidRPr="00BA7840">
        <w:rPr>
          <w:b/>
        </w:rPr>
        <w:t xml:space="preserve"> </w:t>
      </w:r>
      <w:proofErr w:type="spellStart"/>
      <w:r w:rsidR="00CA64EC" w:rsidRPr="00BA7840">
        <w:rPr>
          <w:b/>
        </w:rPr>
        <w:t>Entomology</w:t>
      </w:r>
      <w:proofErr w:type="spellEnd"/>
      <w:r w:rsidR="00CA64EC" w:rsidRPr="00EC75DC">
        <w:t xml:space="preserve">, v. 66, n.1, p. 130-133, </w:t>
      </w:r>
      <w:proofErr w:type="spellStart"/>
      <w:r w:rsidR="00CA64EC" w:rsidRPr="00EC75DC">
        <w:t>Feb</w:t>
      </w:r>
      <w:proofErr w:type="spellEnd"/>
      <w:r w:rsidR="00CA64EC" w:rsidRPr="00EC75DC">
        <w:t>. 1973.</w:t>
      </w:r>
    </w:p>
    <w:p w14:paraId="6868CAE7" w14:textId="77777777" w:rsidR="00CA64EC" w:rsidRDefault="00CA64EC" w:rsidP="00D87570">
      <w:pPr>
        <w:jc w:val="both"/>
      </w:pPr>
    </w:p>
    <w:p w14:paraId="173CF974" w14:textId="46A04CA8" w:rsidR="00D87570" w:rsidRDefault="00CA64EC" w:rsidP="00BA7840">
      <w:pPr>
        <w:jc w:val="both"/>
      </w:pPr>
      <w:r>
        <w:t xml:space="preserve">FLAUSINO, J. R. N.; GOMES, C. C. G.; GRISI, L. Avaliação da resistência do carrapato </w:t>
      </w:r>
      <w:proofErr w:type="spellStart"/>
      <w:r>
        <w:t>Boophilus</w:t>
      </w:r>
      <w:proofErr w:type="spellEnd"/>
      <w:r>
        <w:t xml:space="preserve"> </w:t>
      </w:r>
      <w:proofErr w:type="spellStart"/>
      <w:r>
        <w:t>microplus</w:t>
      </w:r>
      <w:proofErr w:type="spellEnd"/>
      <w:r>
        <w:t xml:space="preserve"> ao </w:t>
      </w:r>
      <w:proofErr w:type="spellStart"/>
      <w:r>
        <w:t>amitraz</w:t>
      </w:r>
      <w:proofErr w:type="spellEnd"/>
      <w:r>
        <w:t xml:space="preserve"> e a </w:t>
      </w:r>
      <w:proofErr w:type="spellStart"/>
      <w:r>
        <w:t>piretróides</w:t>
      </w:r>
      <w:proofErr w:type="spellEnd"/>
      <w:r>
        <w:t xml:space="preserve">, no município de Seropédica, Rio de Janeiro. </w:t>
      </w:r>
      <w:r w:rsidRPr="00250916">
        <w:rPr>
          <w:b/>
        </w:rPr>
        <w:t>Revista Brasileira de Parasitologia Veterinária</w:t>
      </w:r>
      <w:r>
        <w:t>, v.4,</w:t>
      </w:r>
      <w:r w:rsidR="00E664A5">
        <w:t xml:space="preserve"> n.2, p. 45, A</w:t>
      </w:r>
      <w:r>
        <w:t>go. 1995</w:t>
      </w:r>
      <w:r w:rsidR="00250916">
        <w:t>.</w:t>
      </w:r>
    </w:p>
    <w:p w14:paraId="6DA7544E" w14:textId="77777777" w:rsidR="00D8444C" w:rsidRDefault="00D8444C" w:rsidP="005007C4">
      <w:pPr>
        <w:ind w:right="2267"/>
        <w:jc w:val="both"/>
      </w:pPr>
    </w:p>
    <w:p w14:paraId="679AF1DA" w14:textId="77777777" w:rsidR="00E664A5" w:rsidRDefault="00E664A5" w:rsidP="00E664A5">
      <w:r>
        <w:t xml:space="preserve">LEAL, A. T., </w:t>
      </w:r>
      <w:proofErr w:type="spellStart"/>
      <w:r>
        <w:t>el</w:t>
      </w:r>
      <w:proofErr w:type="spellEnd"/>
      <w:r>
        <w:t xml:space="preserve"> al. Perspectivas para o controle do carrapato bovino. </w:t>
      </w:r>
      <w:r w:rsidRPr="00E664A5">
        <w:rPr>
          <w:b/>
        </w:rPr>
        <w:t xml:space="preserve">Acta </w:t>
      </w:r>
      <w:proofErr w:type="spellStart"/>
      <w:r w:rsidRPr="00E664A5">
        <w:rPr>
          <w:b/>
        </w:rPr>
        <w:t>Scientiae</w:t>
      </w:r>
      <w:proofErr w:type="spellEnd"/>
      <w:r w:rsidRPr="00E664A5">
        <w:rPr>
          <w:b/>
        </w:rPr>
        <w:t xml:space="preserve"> </w:t>
      </w:r>
      <w:proofErr w:type="spellStart"/>
      <w:r w:rsidRPr="00E664A5">
        <w:rPr>
          <w:b/>
        </w:rPr>
        <w:t>Veterinariae</w:t>
      </w:r>
      <w:proofErr w:type="spellEnd"/>
      <w:r>
        <w:t>, v.31 p. 1-11, 2003.</w:t>
      </w:r>
    </w:p>
    <w:p w14:paraId="26E69E0B" w14:textId="77777777" w:rsidR="00A93713" w:rsidRDefault="00A93713" w:rsidP="00E664A5"/>
    <w:p w14:paraId="3DD07370" w14:textId="6BDE075E" w:rsidR="00A93713" w:rsidRDefault="00A93713" w:rsidP="00174AB1">
      <w:r>
        <w:t>Legislação relacionada ao</w:t>
      </w:r>
      <w:r w:rsidR="00174AB1">
        <w:t>s produtos de uso veterinário</w:t>
      </w:r>
      <w:r w:rsidR="00174AB1" w:rsidRPr="00174AB1">
        <w:rPr>
          <w:b/>
        </w:rPr>
        <w:t xml:space="preserve">. </w:t>
      </w:r>
      <w:r w:rsidRPr="00174AB1">
        <w:rPr>
          <w:b/>
        </w:rPr>
        <w:t>Ministério da Agricu</w:t>
      </w:r>
      <w:r w:rsidR="00174AB1" w:rsidRPr="00174AB1">
        <w:rPr>
          <w:b/>
        </w:rPr>
        <w:t>ltura, Pecuária e Abastecimento(MAPA)</w:t>
      </w:r>
      <w:r w:rsidR="00174AB1">
        <w:t>,</w:t>
      </w:r>
      <w:r>
        <w:t xml:space="preserve"> Secretaria de Defesa Ag</w:t>
      </w:r>
      <w:r w:rsidR="00174AB1">
        <w:t xml:space="preserve">ropecuária, p.297-299, </w:t>
      </w:r>
      <w:r>
        <w:t xml:space="preserve"> 401 p.</w:t>
      </w:r>
      <w:r w:rsidR="00174AB1">
        <w:t xml:space="preserve"> 2012</w:t>
      </w:r>
    </w:p>
    <w:p w14:paraId="6988D332" w14:textId="77777777" w:rsidR="004606D2" w:rsidRPr="00EC75DC" w:rsidRDefault="004606D2" w:rsidP="005007C4">
      <w:pPr>
        <w:ind w:right="2267"/>
        <w:jc w:val="both"/>
      </w:pPr>
    </w:p>
    <w:p w14:paraId="7976B7F1" w14:textId="77777777" w:rsidR="001F78D1" w:rsidRDefault="00250916">
      <w:pPr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RODRIGUEZ-VIVAS et al, </w:t>
      </w:r>
      <w:r w:rsidR="00B25AA4" w:rsidRPr="00EC75DC">
        <w:rPr>
          <w:color w:val="000000"/>
          <w:shd w:val="clear" w:color="auto" w:fill="FFFFFF"/>
        </w:rPr>
        <w:t xml:space="preserve"> Uso de </w:t>
      </w:r>
      <w:proofErr w:type="spellStart"/>
      <w:r w:rsidR="00B25AA4" w:rsidRPr="00EC75DC">
        <w:rPr>
          <w:color w:val="000000"/>
          <w:shd w:val="clear" w:color="auto" w:fill="FFFFFF"/>
        </w:rPr>
        <w:t>lactonas</w:t>
      </w:r>
      <w:proofErr w:type="spellEnd"/>
      <w:r w:rsidR="00B25AA4" w:rsidRPr="00EC75DC">
        <w:rPr>
          <w:color w:val="000000"/>
          <w:shd w:val="clear" w:color="auto" w:fill="FFFFFF"/>
        </w:rPr>
        <w:t xml:space="preserve"> </w:t>
      </w:r>
      <w:proofErr w:type="spellStart"/>
      <w:r w:rsidR="00B25AA4" w:rsidRPr="00EC75DC">
        <w:rPr>
          <w:color w:val="000000"/>
          <w:shd w:val="clear" w:color="auto" w:fill="FFFFFF"/>
        </w:rPr>
        <w:t>macrocíclicas</w:t>
      </w:r>
      <w:proofErr w:type="spellEnd"/>
      <w:r w:rsidR="00B25AA4" w:rsidRPr="00EC75DC">
        <w:rPr>
          <w:color w:val="000000"/>
          <w:shd w:val="clear" w:color="auto" w:fill="FFFFFF"/>
        </w:rPr>
        <w:t xml:space="preserve"> para </w:t>
      </w:r>
      <w:proofErr w:type="spellStart"/>
      <w:r w:rsidR="00B25AA4" w:rsidRPr="00EC75DC">
        <w:rPr>
          <w:color w:val="000000"/>
          <w:shd w:val="clear" w:color="auto" w:fill="FFFFFF"/>
        </w:rPr>
        <w:t>el</w:t>
      </w:r>
      <w:proofErr w:type="spellEnd"/>
      <w:r w:rsidR="00B25AA4" w:rsidRPr="00EC75DC">
        <w:rPr>
          <w:color w:val="000000"/>
          <w:shd w:val="clear" w:color="auto" w:fill="FFFFFF"/>
        </w:rPr>
        <w:t xml:space="preserve"> </w:t>
      </w:r>
      <w:proofErr w:type="spellStart"/>
      <w:r w:rsidR="00B25AA4" w:rsidRPr="00EC75DC">
        <w:rPr>
          <w:color w:val="000000"/>
          <w:shd w:val="clear" w:color="auto" w:fill="FFFFFF"/>
        </w:rPr>
        <w:t>control</w:t>
      </w:r>
      <w:proofErr w:type="spellEnd"/>
      <w:r w:rsidR="00B25AA4" w:rsidRPr="00EC75DC">
        <w:rPr>
          <w:color w:val="000000"/>
          <w:shd w:val="clear" w:color="auto" w:fill="FFFFFF"/>
        </w:rPr>
        <w:t xml:space="preserve"> de </w:t>
      </w:r>
      <w:proofErr w:type="spellStart"/>
      <w:r w:rsidR="00B25AA4" w:rsidRPr="00EC75DC">
        <w:rPr>
          <w:color w:val="000000"/>
          <w:shd w:val="clear" w:color="auto" w:fill="FFFFFF"/>
        </w:rPr>
        <w:t>la</w:t>
      </w:r>
      <w:proofErr w:type="spellEnd"/>
      <w:r w:rsidR="00B25AA4" w:rsidRPr="00EC75DC">
        <w:rPr>
          <w:color w:val="000000"/>
          <w:shd w:val="clear" w:color="auto" w:fill="FFFFFF"/>
        </w:rPr>
        <w:t xml:space="preserve"> </w:t>
      </w:r>
      <w:proofErr w:type="spellStart"/>
      <w:r w:rsidR="00B25AA4" w:rsidRPr="00EC75DC">
        <w:rPr>
          <w:color w:val="000000"/>
          <w:shd w:val="clear" w:color="auto" w:fill="FFFFFF"/>
        </w:rPr>
        <w:t>garrapata</w:t>
      </w:r>
      <w:proofErr w:type="spellEnd"/>
      <w:r w:rsidR="00B25AA4" w:rsidRPr="00EC75DC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="00B25AA4" w:rsidRPr="00EC75DC">
        <w:rPr>
          <w:i/>
          <w:iCs/>
          <w:color w:val="000000"/>
          <w:shd w:val="clear" w:color="auto" w:fill="FFFFFF"/>
        </w:rPr>
        <w:t>Rhipicephalus</w:t>
      </w:r>
      <w:proofErr w:type="spellEnd"/>
      <w:r w:rsidR="00B25AA4" w:rsidRPr="00EC75DC">
        <w:rPr>
          <w:i/>
          <w:iCs/>
          <w:color w:val="000000"/>
          <w:shd w:val="clear" w:color="auto" w:fill="FFFFFF"/>
        </w:rPr>
        <w:t xml:space="preserve"> (</w:t>
      </w:r>
      <w:proofErr w:type="spellStart"/>
      <w:r w:rsidR="00B25AA4" w:rsidRPr="00EC75DC">
        <w:rPr>
          <w:i/>
          <w:iCs/>
          <w:color w:val="000000"/>
          <w:shd w:val="clear" w:color="auto" w:fill="FFFFFF"/>
        </w:rPr>
        <w:t>Boophilus</w:t>
      </w:r>
      <w:proofErr w:type="spellEnd"/>
      <w:r w:rsidR="00B25AA4" w:rsidRPr="00EC75DC">
        <w:rPr>
          <w:i/>
          <w:iCs/>
          <w:color w:val="000000"/>
          <w:shd w:val="clear" w:color="auto" w:fill="FFFFFF"/>
        </w:rPr>
        <w:t xml:space="preserve">) </w:t>
      </w:r>
      <w:proofErr w:type="spellStart"/>
      <w:r w:rsidR="00B25AA4" w:rsidRPr="00EC75DC">
        <w:rPr>
          <w:i/>
          <w:iCs/>
          <w:color w:val="000000"/>
          <w:shd w:val="clear" w:color="auto" w:fill="FFFFFF"/>
        </w:rPr>
        <w:t>microplus</w:t>
      </w:r>
      <w:proofErr w:type="spellEnd"/>
      <w:r w:rsidR="00B25AA4" w:rsidRPr="00EC75DC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="00B25AA4" w:rsidRPr="00EC75DC">
        <w:rPr>
          <w:color w:val="000000"/>
          <w:shd w:val="clear" w:color="auto" w:fill="FFFFFF"/>
        </w:rPr>
        <w:t>en</w:t>
      </w:r>
      <w:proofErr w:type="spellEnd"/>
      <w:r w:rsidR="00B25AA4" w:rsidRPr="00EC75DC">
        <w:rPr>
          <w:color w:val="000000"/>
          <w:shd w:val="clear" w:color="auto" w:fill="FFFFFF"/>
        </w:rPr>
        <w:t xml:space="preserve"> </w:t>
      </w:r>
      <w:proofErr w:type="spellStart"/>
      <w:r w:rsidR="00B25AA4" w:rsidRPr="00EC75DC">
        <w:rPr>
          <w:color w:val="000000"/>
          <w:shd w:val="clear" w:color="auto" w:fill="FFFFFF"/>
        </w:rPr>
        <w:t>el</w:t>
      </w:r>
      <w:proofErr w:type="spellEnd"/>
      <w:r w:rsidR="00B25AA4" w:rsidRPr="00EC75DC">
        <w:rPr>
          <w:color w:val="000000"/>
          <w:shd w:val="clear" w:color="auto" w:fill="FFFFFF"/>
        </w:rPr>
        <w:t xml:space="preserve"> </w:t>
      </w:r>
      <w:proofErr w:type="spellStart"/>
      <w:r w:rsidR="00B25AA4" w:rsidRPr="00EC75DC">
        <w:rPr>
          <w:color w:val="000000"/>
          <w:shd w:val="clear" w:color="auto" w:fill="FFFFFF"/>
        </w:rPr>
        <w:t>ganado</w:t>
      </w:r>
      <w:proofErr w:type="spellEnd"/>
      <w:r w:rsidR="00B25AA4" w:rsidRPr="00EC75DC">
        <w:rPr>
          <w:color w:val="000000"/>
          <w:shd w:val="clear" w:color="auto" w:fill="FFFFFF"/>
        </w:rPr>
        <w:t xml:space="preserve"> bovino. </w:t>
      </w:r>
      <w:proofErr w:type="spellStart"/>
      <w:r w:rsidR="00B25AA4" w:rsidRPr="00250916">
        <w:rPr>
          <w:b/>
          <w:color w:val="000000"/>
          <w:shd w:val="clear" w:color="auto" w:fill="FFFFFF"/>
        </w:rPr>
        <w:t>Archivos</w:t>
      </w:r>
      <w:proofErr w:type="spellEnd"/>
      <w:r w:rsidR="00B25AA4" w:rsidRPr="00250916">
        <w:rPr>
          <w:b/>
          <w:color w:val="000000"/>
          <w:shd w:val="clear" w:color="auto" w:fill="FFFFFF"/>
        </w:rPr>
        <w:t xml:space="preserve"> de Medicina </w:t>
      </w:r>
      <w:proofErr w:type="spellStart"/>
      <w:r w:rsidR="00B25AA4" w:rsidRPr="00250916">
        <w:rPr>
          <w:b/>
          <w:color w:val="000000"/>
          <w:shd w:val="clear" w:color="auto" w:fill="FFFFFF"/>
        </w:rPr>
        <w:t>Veterinaria</w:t>
      </w:r>
      <w:proofErr w:type="spellEnd"/>
      <w:r>
        <w:rPr>
          <w:color w:val="000000"/>
          <w:shd w:val="clear" w:color="auto" w:fill="FFFFFF"/>
        </w:rPr>
        <w:t xml:space="preserve">, v. </w:t>
      </w:r>
      <w:r w:rsidR="00B25AA4" w:rsidRPr="00EC75DC">
        <w:rPr>
          <w:color w:val="000000"/>
          <w:shd w:val="clear" w:color="auto" w:fill="FFFFFF"/>
        </w:rPr>
        <w:t xml:space="preserve">42 </w:t>
      </w:r>
      <w:r>
        <w:rPr>
          <w:color w:val="000000"/>
          <w:shd w:val="clear" w:color="auto" w:fill="FFFFFF"/>
        </w:rPr>
        <w:t>n.</w:t>
      </w:r>
      <w:r w:rsidR="00B25AA4" w:rsidRPr="00EC75DC"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>, p.</w:t>
      </w:r>
      <w:r w:rsidR="00B25AA4" w:rsidRPr="00EC75DC">
        <w:rPr>
          <w:color w:val="000000"/>
          <w:shd w:val="clear" w:color="auto" w:fill="FFFFFF"/>
        </w:rPr>
        <w:t xml:space="preserve"> 115-123.</w:t>
      </w:r>
      <w:r w:rsidR="00B25AA4" w:rsidRPr="00EC75DC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>2010.</w:t>
      </w:r>
    </w:p>
    <w:p w14:paraId="5A7B9228" w14:textId="77777777" w:rsidR="00BA7840" w:rsidRDefault="00BA7840">
      <w:pPr>
        <w:rPr>
          <w:rStyle w:val="apple-converted-space"/>
          <w:color w:val="000000"/>
          <w:shd w:val="clear" w:color="auto" w:fill="FFFFFF"/>
        </w:rPr>
      </w:pPr>
    </w:p>
    <w:p w14:paraId="757372E6" w14:textId="77777777" w:rsidR="00EC75DC" w:rsidRDefault="00EC75DC" w:rsidP="00EC75DC"/>
    <w:p w14:paraId="690BD76A" w14:textId="3E3D2870" w:rsidR="00BA7840" w:rsidRDefault="00E664A5" w:rsidP="00E664A5">
      <w:r>
        <w:t>.</w:t>
      </w:r>
    </w:p>
    <w:sectPr w:rsidR="00BA7840" w:rsidSect="00CA7067">
      <w:pgSz w:w="11906" w:h="16838"/>
      <w:pgMar w:top="1418" w:right="1134" w:bottom="1134" w:left="1134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3F5"/>
    <w:multiLevelType w:val="multilevel"/>
    <w:tmpl w:val="10B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A704D"/>
    <w:multiLevelType w:val="multilevel"/>
    <w:tmpl w:val="044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F750C"/>
    <w:multiLevelType w:val="multilevel"/>
    <w:tmpl w:val="47FC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50EDD"/>
    <w:multiLevelType w:val="multilevel"/>
    <w:tmpl w:val="EE44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A69F8"/>
    <w:multiLevelType w:val="multilevel"/>
    <w:tmpl w:val="5A9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D31F78"/>
    <w:multiLevelType w:val="multilevel"/>
    <w:tmpl w:val="F5F0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70"/>
    <w:rsid w:val="00015DEC"/>
    <w:rsid w:val="00040B1D"/>
    <w:rsid w:val="00076E9B"/>
    <w:rsid w:val="000B66F6"/>
    <w:rsid w:val="000C4810"/>
    <w:rsid w:val="000D5343"/>
    <w:rsid w:val="00107384"/>
    <w:rsid w:val="00110EAE"/>
    <w:rsid w:val="00116E95"/>
    <w:rsid w:val="001412FC"/>
    <w:rsid w:val="00144014"/>
    <w:rsid w:val="00174AB1"/>
    <w:rsid w:val="001C1EC6"/>
    <w:rsid w:val="001F78D1"/>
    <w:rsid w:val="00250916"/>
    <w:rsid w:val="00323A14"/>
    <w:rsid w:val="003A2A39"/>
    <w:rsid w:val="003E18C7"/>
    <w:rsid w:val="00403F77"/>
    <w:rsid w:val="004606D2"/>
    <w:rsid w:val="005007C4"/>
    <w:rsid w:val="0054384A"/>
    <w:rsid w:val="00592677"/>
    <w:rsid w:val="006815A2"/>
    <w:rsid w:val="006B085D"/>
    <w:rsid w:val="006B0E52"/>
    <w:rsid w:val="006D7FB0"/>
    <w:rsid w:val="0071054E"/>
    <w:rsid w:val="00783005"/>
    <w:rsid w:val="007C5818"/>
    <w:rsid w:val="007D294D"/>
    <w:rsid w:val="0081465F"/>
    <w:rsid w:val="0086492C"/>
    <w:rsid w:val="009342AA"/>
    <w:rsid w:val="00957896"/>
    <w:rsid w:val="009837B1"/>
    <w:rsid w:val="00A366E1"/>
    <w:rsid w:val="00A44E90"/>
    <w:rsid w:val="00A5382F"/>
    <w:rsid w:val="00A7655B"/>
    <w:rsid w:val="00A93713"/>
    <w:rsid w:val="00AE4A48"/>
    <w:rsid w:val="00B01E14"/>
    <w:rsid w:val="00B25AA4"/>
    <w:rsid w:val="00B2741B"/>
    <w:rsid w:val="00B82BE6"/>
    <w:rsid w:val="00BA7840"/>
    <w:rsid w:val="00C94F2A"/>
    <w:rsid w:val="00C9509B"/>
    <w:rsid w:val="00CA64EC"/>
    <w:rsid w:val="00CA7067"/>
    <w:rsid w:val="00CE3FF0"/>
    <w:rsid w:val="00CF3709"/>
    <w:rsid w:val="00CF6622"/>
    <w:rsid w:val="00D220B1"/>
    <w:rsid w:val="00D3688E"/>
    <w:rsid w:val="00D449C6"/>
    <w:rsid w:val="00D651C7"/>
    <w:rsid w:val="00D8444C"/>
    <w:rsid w:val="00D87570"/>
    <w:rsid w:val="00DD6C45"/>
    <w:rsid w:val="00E2245E"/>
    <w:rsid w:val="00E664A5"/>
    <w:rsid w:val="00E8693C"/>
    <w:rsid w:val="00EC0ACE"/>
    <w:rsid w:val="00EC75DC"/>
    <w:rsid w:val="00F30338"/>
    <w:rsid w:val="00FC201D"/>
    <w:rsid w:val="00FE6DD4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05D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75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57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DefaultParagraphFont"/>
    <w:rsid w:val="00144014"/>
  </w:style>
  <w:style w:type="paragraph" w:styleId="NormalWeb">
    <w:name w:val="Normal (Web)"/>
    <w:basedOn w:val="Normal"/>
    <w:uiPriority w:val="99"/>
    <w:semiHidden/>
    <w:unhideWhenUsed/>
    <w:rsid w:val="00BA784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A13">
    <w:name w:val="A13"/>
    <w:uiPriority w:val="99"/>
    <w:rsid w:val="00A366E1"/>
    <w:rPr>
      <w:rFonts w:cs="Myriad Pro Cond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75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57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DefaultParagraphFont"/>
    <w:rsid w:val="00144014"/>
  </w:style>
  <w:style w:type="paragraph" w:styleId="NormalWeb">
    <w:name w:val="Normal (Web)"/>
    <w:basedOn w:val="Normal"/>
    <w:uiPriority w:val="99"/>
    <w:semiHidden/>
    <w:unhideWhenUsed/>
    <w:rsid w:val="00BA784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A13">
    <w:name w:val="A13"/>
    <w:uiPriority w:val="99"/>
    <w:rsid w:val="00A366E1"/>
    <w:rPr>
      <w:rFonts w:cs="Myriad Pro Cond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chart" Target="charts/chart1.xml"/><Relationship Id="rId8" Type="http://schemas.openxmlformats.org/officeDocument/2006/relationships/chart" Target="charts/chart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3515374798334"/>
          <c:y val="0.0962516641941496"/>
          <c:w val="0.609494986835566"/>
          <c:h val="0.767085909563318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Controle Positivo</c:v>
                </c:pt>
              </c:strCache>
            </c:strRef>
          </c:tx>
          <c:cat>
            <c:numRef>
              <c:f>Plan1!$A$2:$A$17</c:f>
              <c:numCache>
                <c:formatCode>General</c:formatCode>
                <c:ptCount val="16"/>
                <c:pt idx="0">
                  <c:v>0.0</c:v>
                </c:pt>
                <c:pt idx="1">
                  <c:v>1.0</c:v>
                </c:pt>
                <c:pt idx="2">
                  <c:v>2.0</c:v>
                </c:pt>
                <c:pt idx="3">
                  <c:v>3.0</c:v>
                </c:pt>
                <c:pt idx="4">
                  <c:v>4.0</c:v>
                </c:pt>
                <c:pt idx="5">
                  <c:v>5.0</c:v>
                </c:pt>
                <c:pt idx="6">
                  <c:v>6.0</c:v>
                </c:pt>
                <c:pt idx="7">
                  <c:v>7.0</c:v>
                </c:pt>
                <c:pt idx="8">
                  <c:v>8.0</c:v>
                </c:pt>
                <c:pt idx="9">
                  <c:v>9.0</c:v>
                </c:pt>
                <c:pt idx="10">
                  <c:v>10.0</c:v>
                </c:pt>
                <c:pt idx="11">
                  <c:v>11.0</c:v>
                </c:pt>
                <c:pt idx="12">
                  <c:v>12.0</c:v>
                </c:pt>
                <c:pt idx="13">
                  <c:v>13.0</c:v>
                </c:pt>
                <c:pt idx="14">
                  <c:v>14.0</c:v>
                </c:pt>
                <c:pt idx="15">
                  <c:v>15.0</c:v>
                </c:pt>
              </c:numCache>
            </c:numRef>
          </c:cat>
          <c:val>
            <c:numRef>
              <c:f>Plan1!$B$2:$B$17</c:f>
              <c:numCache>
                <c:formatCode>General</c:formatCode>
                <c:ptCount val="16"/>
                <c:pt idx="0">
                  <c:v>0.0</c:v>
                </c:pt>
                <c:pt idx="1">
                  <c:v>100.0</c:v>
                </c:pt>
                <c:pt idx="2">
                  <c:v>100.0</c:v>
                </c:pt>
                <c:pt idx="3">
                  <c:v>100.0</c:v>
                </c:pt>
                <c:pt idx="4">
                  <c:v>100.0</c:v>
                </c:pt>
                <c:pt idx="5">
                  <c:v>100.0</c:v>
                </c:pt>
                <c:pt idx="6">
                  <c:v>100.0</c:v>
                </c:pt>
                <c:pt idx="7">
                  <c:v>100.0</c:v>
                </c:pt>
                <c:pt idx="8">
                  <c:v>100.0</c:v>
                </c:pt>
                <c:pt idx="9">
                  <c:v>100.0</c:v>
                </c:pt>
                <c:pt idx="10">
                  <c:v>100.0</c:v>
                </c:pt>
                <c:pt idx="11">
                  <c:v>100.0</c:v>
                </c:pt>
                <c:pt idx="12">
                  <c:v>100.0</c:v>
                </c:pt>
                <c:pt idx="13">
                  <c:v>100.0</c:v>
                </c:pt>
                <c:pt idx="14">
                  <c:v>100.0</c:v>
                </c:pt>
                <c:pt idx="15">
                  <c:v>100.0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E. P. Cândido Mota</c:v>
                </c:pt>
              </c:strCache>
            </c:strRef>
          </c:tx>
          <c:cat>
            <c:numRef>
              <c:f>Plan1!$A$2:$A$17</c:f>
              <c:numCache>
                <c:formatCode>General</c:formatCode>
                <c:ptCount val="16"/>
                <c:pt idx="0">
                  <c:v>0.0</c:v>
                </c:pt>
                <c:pt idx="1">
                  <c:v>1.0</c:v>
                </c:pt>
                <c:pt idx="2">
                  <c:v>2.0</c:v>
                </c:pt>
                <c:pt idx="3">
                  <c:v>3.0</c:v>
                </c:pt>
                <c:pt idx="4">
                  <c:v>4.0</c:v>
                </c:pt>
                <c:pt idx="5">
                  <c:v>5.0</c:v>
                </c:pt>
                <c:pt idx="6">
                  <c:v>6.0</c:v>
                </c:pt>
                <c:pt idx="7">
                  <c:v>7.0</c:v>
                </c:pt>
                <c:pt idx="8">
                  <c:v>8.0</c:v>
                </c:pt>
                <c:pt idx="9">
                  <c:v>9.0</c:v>
                </c:pt>
                <c:pt idx="10">
                  <c:v>10.0</c:v>
                </c:pt>
                <c:pt idx="11">
                  <c:v>11.0</c:v>
                </c:pt>
                <c:pt idx="12">
                  <c:v>12.0</c:v>
                </c:pt>
                <c:pt idx="13">
                  <c:v>13.0</c:v>
                </c:pt>
                <c:pt idx="14">
                  <c:v>14.0</c:v>
                </c:pt>
                <c:pt idx="15">
                  <c:v>15.0</c:v>
                </c:pt>
              </c:numCache>
            </c:numRef>
          </c:cat>
          <c:val>
            <c:numRef>
              <c:f>Plan1!$C$2:$C$17</c:f>
              <c:numCache>
                <c:formatCode>General</c:formatCode>
                <c:ptCount val="16"/>
                <c:pt idx="0">
                  <c:v>0.0</c:v>
                </c:pt>
                <c:pt idx="1">
                  <c:v>0.0</c:v>
                </c:pt>
                <c:pt idx="2">
                  <c:v>4.34</c:v>
                </c:pt>
                <c:pt idx="3">
                  <c:v>4.34</c:v>
                </c:pt>
                <c:pt idx="4">
                  <c:v>10.86</c:v>
                </c:pt>
                <c:pt idx="5">
                  <c:v>13.04</c:v>
                </c:pt>
                <c:pt idx="6">
                  <c:v>13.04</c:v>
                </c:pt>
                <c:pt idx="7">
                  <c:v>13.04</c:v>
                </c:pt>
                <c:pt idx="8">
                  <c:v>15.21</c:v>
                </c:pt>
                <c:pt idx="9">
                  <c:v>17.39</c:v>
                </c:pt>
                <c:pt idx="10">
                  <c:v>19.56</c:v>
                </c:pt>
                <c:pt idx="11">
                  <c:v>19.56</c:v>
                </c:pt>
                <c:pt idx="12">
                  <c:v>23.91</c:v>
                </c:pt>
                <c:pt idx="13">
                  <c:v>30.43</c:v>
                </c:pt>
                <c:pt idx="14">
                  <c:v>36.95</c:v>
                </c:pt>
                <c:pt idx="15">
                  <c:v>39.13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E. P. Palmital</c:v>
                </c:pt>
              </c:strCache>
            </c:strRef>
          </c:tx>
          <c:cat>
            <c:numRef>
              <c:f>Plan1!$A$2:$A$17</c:f>
              <c:numCache>
                <c:formatCode>General</c:formatCode>
                <c:ptCount val="16"/>
                <c:pt idx="0">
                  <c:v>0.0</c:v>
                </c:pt>
                <c:pt idx="1">
                  <c:v>1.0</c:v>
                </c:pt>
                <c:pt idx="2">
                  <c:v>2.0</c:v>
                </c:pt>
                <c:pt idx="3">
                  <c:v>3.0</c:v>
                </c:pt>
                <c:pt idx="4">
                  <c:v>4.0</c:v>
                </c:pt>
                <c:pt idx="5">
                  <c:v>5.0</c:v>
                </c:pt>
                <c:pt idx="6">
                  <c:v>6.0</c:v>
                </c:pt>
                <c:pt idx="7">
                  <c:v>7.0</c:v>
                </c:pt>
                <c:pt idx="8">
                  <c:v>8.0</c:v>
                </c:pt>
                <c:pt idx="9">
                  <c:v>9.0</c:v>
                </c:pt>
                <c:pt idx="10">
                  <c:v>10.0</c:v>
                </c:pt>
                <c:pt idx="11">
                  <c:v>11.0</c:v>
                </c:pt>
                <c:pt idx="12">
                  <c:v>12.0</c:v>
                </c:pt>
                <c:pt idx="13">
                  <c:v>13.0</c:v>
                </c:pt>
                <c:pt idx="14">
                  <c:v>14.0</c:v>
                </c:pt>
                <c:pt idx="15">
                  <c:v>15.0</c:v>
                </c:pt>
              </c:numCache>
            </c:numRef>
          </c:cat>
          <c:val>
            <c:numRef>
              <c:f>Plan1!$D$2:$D$17</c:f>
              <c:numCache>
                <c:formatCode>General</c:formatCode>
                <c:ptCount val="16"/>
                <c:pt idx="0">
                  <c:v>0.0</c:v>
                </c:pt>
                <c:pt idx="1">
                  <c:v>8.69</c:v>
                </c:pt>
                <c:pt idx="2">
                  <c:v>8.69</c:v>
                </c:pt>
                <c:pt idx="3">
                  <c:v>13.04</c:v>
                </c:pt>
                <c:pt idx="4">
                  <c:v>23.91</c:v>
                </c:pt>
                <c:pt idx="5">
                  <c:v>23.91</c:v>
                </c:pt>
                <c:pt idx="6">
                  <c:v>23.91</c:v>
                </c:pt>
                <c:pt idx="7">
                  <c:v>28.26</c:v>
                </c:pt>
                <c:pt idx="8">
                  <c:v>28.26</c:v>
                </c:pt>
                <c:pt idx="9">
                  <c:v>30.43</c:v>
                </c:pt>
                <c:pt idx="10">
                  <c:v>36.95</c:v>
                </c:pt>
                <c:pt idx="11">
                  <c:v>36.95</c:v>
                </c:pt>
                <c:pt idx="12">
                  <c:v>39.13</c:v>
                </c:pt>
                <c:pt idx="13">
                  <c:v>41.3</c:v>
                </c:pt>
                <c:pt idx="14">
                  <c:v>50.0</c:v>
                </c:pt>
                <c:pt idx="15">
                  <c:v>54.34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Controle Negativo</c:v>
                </c:pt>
              </c:strCache>
            </c:strRef>
          </c:tx>
          <c:cat>
            <c:numRef>
              <c:f>Plan1!$A$2:$A$17</c:f>
              <c:numCache>
                <c:formatCode>General</c:formatCode>
                <c:ptCount val="16"/>
                <c:pt idx="0">
                  <c:v>0.0</c:v>
                </c:pt>
                <c:pt idx="1">
                  <c:v>1.0</c:v>
                </c:pt>
                <c:pt idx="2">
                  <c:v>2.0</c:v>
                </c:pt>
                <c:pt idx="3">
                  <c:v>3.0</c:v>
                </c:pt>
                <c:pt idx="4">
                  <c:v>4.0</c:v>
                </c:pt>
                <c:pt idx="5">
                  <c:v>5.0</c:v>
                </c:pt>
                <c:pt idx="6">
                  <c:v>6.0</c:v>
                </c:pt>
                <c:pt idx="7">
                  <c:v>7.0</c:v>
                </c:pt>
                <c:pt idx="8">
                  <c:v>8.0</c:v>
                </c:pt>
                <c:pt idx="9">
                  <c:v>9.0</c:v>
                </c:pt>
                <c:pt idx="10">
                  <c:v>10.0</c:v>
                </c:pt>
                <c:pt idx="11">
                  <c:v>11.0</c:v>
                </c:pt>
                <c:pt idx="12">
                  <c:v>12.0</c:v>
                </c:pt>
                <c:pt idx="13">
                  <c:v>13.0</c:v>
                </c:pt>
                <c:pt idx="14">
                  <c:v>14.0</c:v>
                </c:pt>
                <c:pt idx="15">
                  <c:v>15.0</c:v>
                </c:pt>
              </c:numCache>
            </c:numRef>
          </c:cat>
          <c:val>
            <c:numRef>
              <c:f>Plan1!$E$2:$E$17</c:f>
              <c:numCache>
                <c:formatCode>General</c:formatCode>
                <c:ptCount val="16"/>
                <c:pt idx="0">
                  <c:v>0.0</c:v>
                </c:pt>
                <c:pt idx="1">
                  <c:v>0.0</c:v>
                </c:pt>
                <c:pt idx="2">
                  <c:v>0.0</c:v>
                </c:pt>
                <c:pt idx="3">
                  <c:v>0.0</c:v>
                </c:pt>
                <c:pt idx="4">
                  <c:v>0.0</c:v>
                </c:pt>
                <c:pt idx="5">
                  <c:v>0.0</c:v>
                </c:pt>
                <c:pt idx="6">
                  <c:v>0.0</c:v>
                </c:pt>
                <c:pt idx="7">
                  <c:v>0.0</c:v>
                </c:pt>
                <c:pt idx="8">
                  <c:v>0.0</c:v>
                </c:pt>
                <c:pt idx="9">
                  <c:v>0.0</c:v>
                </c:pt>
                <c:pt idx="10">
                  <c:v>6.52</c:v>
                </c:pt>
                <c:pt idx="11">
                  <c:v>6.52</c:v>
                </c:pt>
                <c:pt idx="12">
                  <c:v>8.69</c:v>
                </c:pt>
                <c:pt idx="13">
                  <c:v>8.69</c:v>
                </c:pt>
                <c:pt idx="14">
                  <c:v>8.69</c:v>
                </c:pt>
                <c:pt idx="15">
                  <c:v>13.04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73123128"/>
        <c:axId val="2073125128"/>
      </c:lineChart>
      <c:catAx>
        <c:axId val="2073123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73125128"/>
        <c:crosses val="autoZero"/>
        <c:auto val="1"/>
        <c:lblAlgn val="ctr"/>
        <c:lblOffset val="100"/>
        <c:noMultiLvlLbl val="0"/>
      </c:catAx>
      <c:valAx>
        <c:axId val="2073125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3123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1390302256444"/>
          <c:y val="0.0599850381021213"/>
          <c:w val="0.244410609282092"/>
          <c:h val="0.93391839656406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341018405563"/>
          <c:y val="0.122016593563388"/>
          <c:w val="0.609494986835566"/>
          <c:h val="0.767085909563318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Controle Positivo</c:v>
                </c:pt>
              </c:strCache>
            </c:strRef>
          </c:tx>
          <c:cat>
            <c:numRef>
              <c:f>Plan1!$A$2:$A$17</c:f>
              <c:numCache>
                <c:formatCode>General</c:formatCode>
                <c:ptCount val="16"/>
                <c:pt idx="0">
                  <c:v>0.0</c:v>
                </c:pt>
                <c:pt idx="1">
                  <c:v>1.0</c:v>
                </c:pt>
                <c:pt idx="2">
                  <c:v>2.0</c:v>
                </c:pt>
                <c:pt idx="3">
                  <c:v>3.0</c:v>
                </c:pt>
                <c:pt idx="4">
                  <c:v>4.0</c:v>
                </c:pt>
                <c:pt idx="5">
                  <c:v>5.0</c:v>
                </c:pt>
                <c:pt idx="6">
                  <c:v>6.0</c:v>
                </c:pt>
                <c:pt idx="7">
                  <c:v>7.0</c:v>
                </c:pt>
                <c:pt idx="8">
                  <c:v>8.0</c:v>
                </c:pt>
                <c:pt idx="9">
                  <c:v>9.0</c:v>
                </c:pt>
                <c:pt idx="10">
                  <c:v>10.0</c:v>
                </c:pt>
                <c:pt idx="11">
                  <c:v>11.0</c:v>
                </c:pt>
                <c:pt idx="12">
                  <c:v>12.0</c:v>
                </c:pt>
                <c:pt idx="13">
                  <c:v>13.0</c:v>
                </c:pt>
                <c:pt idx="14">
                  <c:v>14.0</c:v>
                </c:pt>
                <c:pt idx="15">
                  <c:v>15.0</c:v>
                </c:pt>
              </c:numCache>
            </c:numRef>
          </c:cat>
          <c:val>
            <c:numRef>
              <c:f>Plan1!$B$2:$B$17</c:f>
              <c:numCache>
                <c:formatCode>General</c:formatCode>
                <c:ptCount val="16"/>
                <c:pt idx="0">
                  <c:v>0.0</c:v>
                </c:pt>
                <c:pt idx="1">
                  <c:v>0.0</c:v>
                </c:pt>
                <c:pt idx="2">
                  <c:v>0.0</c:v>
                </c:pt>
                <c:pt idx="3">
                  <c:v>0.0</c:v>
                </c:pt>
                <c:pt idx="4">
                  <c:v>0.0</c:v>
                </c:pt>
                <c:pt idx="5">
                  <c:v>0.0</c:v>
                </c:pt>
                <c:pt idx="6">
                  <c:v>0.0</c:v>
                </c:pt>
                <c:pt idx="7">
                  <c:v>0.0</c:v>
                </c:pt>
                <c:pt idx="8">
                  <c:v>0.0</c:v>
                </c:pt>
                <c:pt idx="9">
                  <c:v>0.0</c:v>
                </c:pt>
                <c:pt idx="10">
                  <c:v>0.0</c:v>
                </c:pt>
                <c:pt idx="11">
                  <c:v>0.0</c:v>
                </c:pt>
                <c:pt idx="12">
                  <c:v>0.0</c:v>
                </c:pt>
                <c:pt idx="13">
                  <c:v>0.0</c:v>
                </c:pt>
                <c:pt idx="14">
                  <c:v>0.0</c:v>
                </c:pt>
                <c:pt idx="15">
                  <c:v>0.0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E. P. Cândido Mota</c:v>
                </c:pt>
              </c:strCache>
            </c:strRef>
          </c:tx>
          <c:cat>
            <c:numRef>
              <c:f>Plan1!$A$2:$A$17</c:f>
              <c:numCache>
                <c:formatCode>General</c:formatCode>
                <c:ptCount val="16"/>
                <c:pt idx="0">
                  <c:v>0.0</c:v>
                </c:pt>
                <c:pt idx="1">
                  <c:v>1.0</c:v>
                </c:pt>
                <c:pt idx="2">
                  <c:v>2.0</c:v>
                </c:pt>
                <c:pt idx="3">
                  <c:v>3.0</c:v>
                </c:pt>
                <c:pt idx="4">
                  <c:v>4.0</c:v>
                </c:pt>
                <c:pt idx="5">
                  <c:v>5.0</c:v>
                </c:pt>
                <c:pt idx="6">
                  <c:v>6.0</c:v>
                </c:pt>
                <c:pt idx="7">
                  <c:v>7.0</c:v>
                </c:pt>
                <c:pt idx="8">
                  <c:v>8.0</c:v>
                </c:pt>
                <c:pt idx="9">
                  <c:v>9.0</c:v>
                </c:pt>
                <c:pt idx="10">
                  <c:v>10.0</c:v>
                </c:pt>
                <c:pt idx="11">
                  <c:v>11.0</c:v>
                </c:pt>
                <c:pt idx="12">
                  <c:v>12.0</c:v>
                </c:pt>
                <c:pt idx="13">
                  <c:v>13.0</c:v>
                </c:pt>
                <c:pt idx="14">
                  <c:v>14.0</c:v>
                </c:pt>
                <c:pt idx="15">
                  <c:v>15.0</c:v>
                </c:pt>
              </c:numCache>
            </c:numRef>
          </c:cat>
          <c:val>
            <c:numRef>
              <c:f>Plan1!$C$2:$C$17</c:f>
              <c:numCache>
                <c:formatCode>General</c:formatCode>
                <c:ptCount val="16"/>
                <c:pt idx="0">
                  <c:v>0.0</c:v>
                </c:pt>
                <c:pt idx="1">
                  <c:v>45.65</c:v>
                </c:pt>
                <c:pt idx="2">
                  <c:v>76.08</c:v>
                </c:pt>
                <c:pt idx="3">
                  <c:v>84.78</c:v>
                </c:pt>
                <c:pt idx="4">
                  <c:v>93.47</c:v>
                </c:pt>
                <c:pt idx="5">
                  <c:v>93.47</c:v>
                </c:pt>
                <c:pt idx="6">
                  <c:v>93.47</c:v>
                </c:pt>
                <c:pt idx="7">
                  <c:v>93.47</c:v>
                </c:pt>
                <c:pt idx="8">
                  <c:v>93.47</c:v>
                </c:pt>
                <c:pt idx="9">
                  <c:v>93.47</c:v>
                </c:pt>
                <c:pt idx="10">
                  <c:v>93.47</c:v>
                </c:pt>
                <c:pt idx="11">
                  <c:v>93.47</c:v>
                </c:pt>
                <c:pt idx="12">
                  <c:v>93.47</c:v>
                </c:pt>
                <c:pt idx="13">
                  <c:v>93.47</c:v>
                </c:pt>
                <c:pt idx="14">
                  <c:v>93.47</c:v>
                </c:pt>
                <c:pt idx="15">
                  <c:v>93.47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E. P. Palmital</c:v>
                </c:pt>
              </c:strCache>
            </c:strRef>
          </c:tx>
          <c:cat>
            <c:numRef>
              <c:f>Plan1!$A$2:$A$17</c:f>
              <c:numCache>
                <c:formatCode>General</c:formatCode>
                <c:ptCount val="16"/>
                <c:pt idx="0">
                  <c:v>0.0</c:v>
                </c:pt>
                <c:pt idx="1">
                  <c:v>1.0</c:v>
                </c:pt>
                <c:pt idx="2">
                  <c:v>2.0</c:v>
                </c:pt>
                <c:pt idx="3">
                  <c:v>3.0</c:v>
                </c:pt>
                <c:pt idx="4">
                  <c:v>4.0</c:v>
                </c:pt>
                <c:pt idx="5">
                  <c:v>5.0</c:v>
                </c:pt>
                <c:pt idx="6">
                  <c:v>6.0</c:v>
                </c:pt>
                <c:pt idx="7">
                  <c:v>7.0</c:v>
                </c:pt>
                <c:pt idx="8">
                  <c:v>8.0</c:v>
                </c:pt>
                <c:pt idx="9">
                  <c:v>9.0</c:v>
                </c:pt>
                <c:pt idx="10">
                  <c:v>10.0</c:v>
                </c:pt>
                <c:pt idx="11">
                  <c:v>11.0</c:v>
                </c:pt>
                <c:pt idx="12">
                  <c:v>12.0</c:v>
                </c:pt>
                <c:pt idx="13">
                  <c:v>13.0</c:v>
                </c:pt>
                <c:pt idx="14">
                  <c:v>14.0</c:v>
                </c:pt>
                <c:pt idx="15">
                  <c:v>15.0</c:v>
                </c:pt>
              </c:numCache>
            </c:numRef>
          </c:cat>
          <c:val>
            <c:numRef>
              <c:f>Plan1!$D$2:$D$17</c:f>
              <c:numCache>
                <c:formatCode>General</c:formatCode>
                <c:ptCount val="16"/>
                <c:pt idx="0">
                  <c:v>0.0</c:v>
                </c:pt>
                <c:pt idx="1">
                  <c:v>54.34</c:v>
                </c:pt>
                <c:pt idx="2">
                  <c:v>73.91</c:v>
                </c:pt>
                <c:pt idx="3">
                  <c:v>78.26</c:v>
                </c:pt>
                <c:pt idx="4">
                  <c:v>84.78</c:v>
                </c:pt>
                <c:pt idx="5">
                  <c:v>84.78</c:v>
                </c:pt>
                <c:pt idx="6">
                  <c:v>86.95</c:v>
                </c:pt>
                <c:pt idx="7">
                  <c:v>86.95</c:v>
                </c:pt>
                <c:pt idx="8">
                  <c:v>86.95</c:v>
                </c:pt>
                <c:pt idx="9">
                  <c:v>86.95</c:v>
                </c:pt>
                <c:pt idx="10">
                  <c:v>86.95</c:v>
                </c:pt>
                <c:pt idx="11">
                  <c:v>86.95</c:v>
                </c:pt>
                <c:pt idx="12">
                  <c:v>86.95</c:v>
                </c:pt>
                <c:pt idx="13">
                  <c:v>86.95</c:v>
                </c:pt>
                <c:pt idx="14">
                  <c:v>86.95</c:v>
                </c:pt>
                <c:pt idx="15">
                  <c:v>86.95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Controle Negativo</c:v>
                </c:pt>
              </c:strCache>
            </c:strRef>
          </c:tx>
          <c:cat>
            <c:numRef>
              <c:f>Plan1!$A$2:$A$17</c:f>
              <c:numCache>
                <c:formatCode>General</c:formatCode>
                <c:ptCount val="16"/>
                <c:pt idx="0">
                  <c:v>0.0</c:v>
                </c:pt>
                <c:pt idx="1">
                  <c:v>1.0</c:v>
                </c:pt>
                <c:pt idx="2">
                  <c:v>2.0</c:v>
                </c:pt>
                <c:pt idx="3">
                  <c:v>3.0</c:v>
                </c:pt>
                <c:pt idx="4">
                  <c:v>4.0</c:v>
                </c:pt>
                <c:pt idx="5">
                  <c:v>5.0</c:v>
                </c:pt>
                <c:pt idx="6">
                  <c:v>6.0</c:v>
                </c:pt>
                <c:pt idx="7">
                  <c:v>7.0</c:v>
                </c:pt>
                <c:pt idx="8">
                  <c:v>8.0</c:v>
                </c:pt>
                <c:pt idx="9">
                  <c:v>9.0</c:v>
                </c:pt>
                <c:pt idx="10">
                  <c:v>10.0</c:v>
                </c:pt>
                <c:pt idx="11">
                  <c:v>11.0</c:v>
                </c:pt>
                <c:pt idx="12">
                  <c:v>12.0</c:v>
                </c:pt>
                <c:pt idx="13">
                  <c:v>13.0</c:v>
                </c:pt>
                <c:pt idx="14">
                  <c:v>14.0</c:v>
                </c:pt>
                <c:pt idx="15">
                  <c:v>15.0</c:v>
                </c:pt>
              </c:numCache>
            </c:numRef>
          </c:cat>
          <c:val>
            <c:numRef>
              <c:f>Plan1!$E$2:$E$17</c:f>
              <c:numCache>
                <c:formatCode>General</c:formatCode>
                <c:ptCount val="16"/>
                <c:pt idx="0">
                  <c:v>0.0</c:v>
                </c:pt>
                <c:pt idx="1">
                  <c:v>43.47</c:v>
                </c:pt>
                <c:pt idx="2">
                  <c:v>93.47</c:v>
                </c:pt>
                <c:pt idx="3">
                  <c:v>100.0</c:v>
                </c:pt>
                <c:pt idx="4">
                  <c:v>100.0</c:v>
                </c:pt>
                <c:pt idx="5">
                  <c:v>100.0</c:v>
                </c:pt>
                <c:pt idx="6">
                  <c:v>100.0</c:v>
                </c:pt>
                <c:pt idx="7">
                  <c:v>100.0</c:v>
                </c:pt>
                <c:pt idx="8">
                  <c:v>100.0</c:v>
                </c:pt>
                <c:pt idx="9">
                  <c:v>100.0</c:v>
                </c:pt>
                <c:pt idx="10">
                  <c:v>100.0</c:v>
                </c:pt>
                <c:pt idx="11">
                  <c:v>100.0</c:v>
                </c:pt>
                <c:pt idx="12">
                  <c:v>100.0</c:v>
                </c:pt>
                <c:pt idx="13">
                  <c:v>100.0</c:v>
                </c:pt>
                <c:pt idx="14">
                  <c:v>100.0</c:v>
                </c:pt>
                <c:pt idx="15">
                  <c:v>100.0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7195848"/>
        <c:axId val="2137968072"/>
      </c:lineChart>
      <c:catAx>
        <c:axId val="2137195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37968072"/>
        <c:crosses val="autoZero"/>
        <c:auto val="1"/>
        <c:lblAlgn val="ctr"/>
        <c:lblOffset val="100"/>
        <c:noMultiLvlLbl val="0"/>
      </c:catAx>
      <c:valAx>
        <c:axId val="2137968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7195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465614986443"/>
          <c:y val="0.0610441885062874"/>
          <c:w val="0.276523940424607"/>
          <c:h val="0.9018218936406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1340</Words>
  <Characters>7643</Characters>
  <Application>Microsoft Macintosh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Rorato</dc:creator>
  <cp:lastModifiedBy>MacBook</cp:lastModifiedBy>
  <cp:revision>3</cp:revision>
  <dcterms:created xsi:type="dcterms:W3CDTF">2015-08-31T00:45:00Z</dcterms:created>
  <dcterms:modified xsi:type="dcterms:W3CDTF">2015-10-09T19:50:00Z</dcterms:modified>
</cp:coreProperties>
</file>